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836" w:type="dxa"/>
        <w:tblInd w:w="108" w:type="dxa"/>
        <w:tblLayout w:type="fixed"/>
        <w:tblCellMar>
          <w:top w:w="0" w:type="dxa"/>
          <w:left w:w="108" w:type="dxa"/>
          <w:bottom w:w="0" w:type="dxa"/>
          <w:right w:w="108" w:type="dxa"/>
        </w:tblCellMar>
      </w:tblPr>
      <w:tblGrid>
        <w:gridCol w:w="1408"/>
        <w:gridCol w:w="1005"/>
        <w:gridCol w:w="1273"/>
        <w:gridCol w:w="850"/>
        <w:gridCol w:w="5300"/>
      </w:tblGrid>
      <w:tr>
        <w:tblPrEx>
          <w:tblLayout w:type="fixed"/>
        </w:tblPrEx>
        <w:trPr>
          <w:trHeight w:val="840" w:hRule="atLeast"/>
        </w:trPr>
        <w:tc>
          <w:tcPr>
            <w:tcW w:w="9836" w:type="dxa"/>
            <w:gridSpan w:val="5"/>
            <w:tcBorders>
              <w:top w:val="nil"/>
              <w:left w:val="nil"/>
              <w:bottom w:val="nil"/>
              <w:right w:val="nil"/>
            </w:tcBorders>
            <w:shd w:val="clear" w:color="auto" w:fill="auto"/>
            <w:vAlign w:val="center"/>
          </w:tcPr>
          <w:p>
            <w:pPr>
              <w:widowControl/>
              <w:jc w:val="center"/>
              <w:rPr>
                <w:rFonts w:ascii="方正小标宋_GBK" w:hAnsi="宋体" w:eastAsia="方正小标宋_GBK" w:cs="宋体"/>
                <w:kern w:val="0"/>
                <w:sz w:val="40"/>
                <w:szCs w:val="40"/>
              </w:rPr>
            </w:pPr>
            <w:r>
              <w:rPr>
                <w:rFonts w:hint="eastAsia" w:ascii="方正小标宋_GBK" w:hAnsi="宋体" w:eastAsia="方正小标宋_GBK" w:cs="宋体"/>
                <w:kern w:val="0"/>
                <w:sz w:val="40"/>
                <w:szCs w:val="40"/>
              </w:rPr>
              <w:t>2020年度省级统筹激励实施办法量化评估细则</w:t>
            </w:r>
          </w:p>
        </w:tc>
      </w:tr>
      <w:tr>
        <w:tblPrEx>
          <w:tblLayout w:type="fixed"/>
        </w:tblPrEx>
        <w:trPr>
          <w:trHeight w:val="645" w:hRule="atLeast"/>
        </w:trPr>
        <w:tc>
          <w:tcPr>
            <w:tcW w:w="14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序号</w:t>
            </w:r>
          </w:p>
        </w:tc>
        <w:tc>
          <w:tcPr>
            <w:tcW w:w="1273"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子项目</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分值</w:t>
            </w:r>
          </w:p>
        </w:tc>
        <w:tc>
          <w:tcPr>
            <w:tcW w:w="53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目标要求及评分办法</w:t>
            </w:r>
          </w:p>
        </w:tc>
      </w:tr>
      <w:tr>
        <w:tblPrEx>
          <w:tblLayout w:type="fixed"/>
          <w:tblCellMar>
            <w:top w:w="0" w:type="dxa"/>
            <w:left w:w="108" w:type="dxa"/>
            <w:bottom w:w="0" w:type="dxa"/>
            <w:right w:w="108" w:type="dxa"/>
          </w:tblCellMar>
        </w:tblPrEx>
        <w:trPr>
          <w:trHeight w:val="939" w:hRule="atLeast"/>
        </w:trPr>
        <w:tc>
          <w:tcPr>
            <w:tcW w:w="140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政策落实情况</w:t>
            </w:r>
            <w:r>
              <w:rPr>
                <w:rFonts w:hint="eastAsia" w:ascii="方正黑体_GBK" w:hAnsi="宋体" w:eastAsia="方正黑体_GBK" w:cs="宋体"/>
                <w:kern w:val="0"/>
                <w:sz w:val="24"/>
              </w:rPr>
              <w:br w:type="textWrapping"/>
            </w:r>
            <w:r>
              <w:rPr>
                <w:rFonts w:hint="eastAsia" w:ascii="方正黑体_GBK" w:hAnsi="宋体" w:eastAsia="方正黑体_GBK" w:cs="宋体"/>
                <w:kern w:val="0"/>
                <w:sz w:val="24"/>
              </w:rPr>
              <w:t>（30分）</w:t>
            </w:r>
          </w:p>
        </w:tc>
        <w:tc>
          <w:tcPr>
            <w:tcW w:w="100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1</w:t>
            </w:r>
          </w:p>
        </w:tc>
        <w:tc>
          <w:tcPr>
            <w:tcW w:w="127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缴费政策执行情况</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5</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严格执行省规定的缴费基数上下限的，得5分，否则不得分。</w:t>
            </w:r>
          </w:p>
        </w:tc>
      </w:tr>
      <w:tr>
        <w:tblPrEx>
          <w:tblLayout w:type="fixed"/>
          <w:tblCellMar>
            <w:top w:w="0" w:type="dxa"/>
            <w:left w:w="108" w:type="dxa"/>
            <w:bottom w:w="0" w:type="dxa"/>
            <w:right w:w="108" w:type="dxa"/>
          </w:tblCellMar>
        </w:tblPrEx>
        <w:trPr>
          <w:trHeight w:val="939" w:hRule="atLeast"/>
        </w:trPr>
        <w:tc>
          <w:tcPr>
            <w:tcW w:w="14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27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10</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严格执行国家和省规定的补缴政策的，得10分，2020年度新增违规补缴的，每发现1人扣1分，扣完为止。</w:t>
            </w:r>
          </w:p>
        </w:tc>
      </w:tr>
      <w:tr>
        <w:tblPrEx>
          <w:tblLayout w:type="fixed"/>
          <w:tblCellMar>
            <w:top w:w="0" w:type="dxa"/>
            <w:left w:w="108" w:type="dxa"/>
            <w:bottom w:w="0" w:type="dxa"/>
            <w:right w:w="108" w:type="dxa"/>
          </w:tblCellMar>
        </w:tblPrEx>
        <w:trPr>
          <w:trHeight w:val="765" w:hRule="atLeast"/>
        </w:trPr>
        <w:tc>
          <w:tcPr>
            <w:tcW w:w="14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2</w:t>
            </w:r>
          </w:p>
        </w:tc>
        <w:tc>
          <w:tcPr>
            <w:tcW w:w="127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退休审批政策执行情况</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4</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严格执行国家和省退休年龄规定的，得4分，否则不得分。</w:t>
            </w:r>
          </w:p>
        </w:tc>
      </w:tr>
      <w:tr>
        <w:tblPrEx>
          <w:tblLayout w:type="fixed"/>
          <w:tblCellMar>
            <w:top w:w="0" w:type="dxa"/>
            <w:left w:w="108" w:type="dxa"/>
            <w:bottom w:w="0" w:type="dxa"/>
            <w:right w:w="108" w:type="dxa"/>
          </w:tblCellMar>
        </w:tblPrEx>
        <w:trPr>
          <w:trHeight w:val="972" w:hRule="atLeast"/>
        </w:trPr>
        <w:tc>
          <w:tcPr>
            <w:tcW w:w="14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27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4</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严格执行国家和省因病或非因工致残完全丧失劳动能力退休（退职）审批规定的，得4分，对于违规办理的，每发现一起扣1分，扣完为止。</w:t>
            </w:r>
          </w:p>
        </w:tc>
      </w:tr>
      <w:tr>
        <w:tblPrEx>
          <w:tblLayout w:type="fixed"/>
          <w:tblCellMar>
            <w:top w:w="0" w:type="dxa"/>
            <w:left w:w="108" w:type="dxa"/>
            <w:bottom w:w="0" w:type="dxa"/>
            <w:right w:w="108" w:type="dxa"/>
          </w:tblCellMar>
        </w:tblPrEx>
        <w:trPr>
          <w:trHeight w:val="1020" w:hRule="atLeast"/>
        </w:trPr>
        <w:tc>
          <w:tcPr>
            <w:tcW w:w="14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27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4</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严格执行国家和省特殊工种提前退休审批规定的，得4分，对于违规办理的，每发现一起扣1分，扣完为止。</w:t>
            </w:r>
          </w:p>
        </w:tc>
      </w:tr>
      <w:tr>
        <w:tblPrEx>
          <w:tblLayout w:type="fixed"/>
          <w:tblCellMar>
            <w:top w:w="0" w:type="dxa"/>
            <w:left w:w="108" w:type="dxa"/>
            <w:bottom w:w="0" w:type="dxa"/>
            <w:right w:w="108" w:type="dxa"/>
          </w:tblCellMar>
        </w:tblPrEx>
        <w:trPr>
          <w:trHeight w:val="1020" w:hRule="atLeast"/>
        </w:trPr>
        <w:tc>
          <w:tcPr>
            <w:tcW w:w="1408"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3</w:t>
            </w:r>
          </w:p>
        </w:tc>
        <w:tc>
          <w:tcPr>
            <w:tcW w:w="127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支付政策执行情况</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3</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严格执行国家和省规定的养老金支付政策的，得3分。违规在基金中支付的，发现一例扣1分，扣完为止。</w:t>
            </w:r>
          </w:p>
        </w:tc>
      </w:tr>
      <w:tr>
        <w:tblPrEx>
          <w:tblLayout w:type="fixed"/>
          <w:tblCellMar>
            <w:top w:w="0" w:type="dxa"/>
            <w:left w:w="108" w:type="dxa"/>
            <w:bottom w:w="0" w:type="dxa"/>
            <w:right w:w="108" w:type="dxa"/>
          </w:tblCellMar>
        </w:tblPrEx>
        <w:trPr>
          <w:trHeight w:val="1452" w:hRule="atLeast"/>
        </w:trPr>
        <w:tc>
          <w:tcPr>
            <w:tcW w:w="140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扩面征缴和预算执行情况（45分）</w:t>
            </w:r>
          </w:p>
        </w:tc>
        <w:tc>
          <w:tcPr>
            <w:tcW w:w="100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4</w:t>
            </w:r>
          </w:p>
        </w:tc>
        <w:tc>
          <w:tcPr>
            <w:tcW w:w="127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r>
              <w:rPr>
                <w:rFonts w:hint="eastAsia" w:ascii="方正黑体_GBK" w:hAnsi="宋体" w:eastAsia="方正黑体_GBK" w:cs="宋体"/>
                <w:kern w:val="0"/>
                <w:sz w:val="24"/>
              </w:rPr>
              <w:t>参保缴费情况</w:t>
            </w:r>
          </w:p>
        </w:tc>
        <w:tc>
          <w:tcPr>
            <w:tcW w:w="850" w:type="dxa"/>
            <w:tcBorders>
              <w:top w:val="nil"/>
              <w:left w:val="nil"/>
              <w:bottom w:val="nil"/>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5</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1.单位参保缴费率达到全省平均水平的，得5分，低于的，每低1个百分点扣1分，扣完为止。</w:t>
            </w:r>
            <w:r>
              <w:rPr>
                <w:rFonts w:hint="eastAsia" w:ascii="方正仿宋_GBK" w:hAnsi="宋体" w:eastAsia="方正仿宋_GBK" w:cs="宋体"/>
                <w:color w:val="000000"/>
                <w:kern w:val="0"/>
                <w:sz w:val="24"/>
              </w:rPr>
              <w:br w:type="textWrapping"/>
            </w:r>
            <w:r>
              <w:rPr>
                <w:rFonts w:hint="eastAsia" w:ascii="方正仿宋_GBK" w:hAnsi="宋体" w:eastAsia="方正仿宋_GBK" w:cs="宋体"/>
                <w:color w:val="000000"/>
                <w:kern w:val="0"/>
                <w:sz w:val="24"/>
              </w:rPr>
              <w:t>2.单位参保缴费率较上年下降的，每降1个百分点减0.5分，最多减3分。</w:t>
            </w:r>
          </w:p>
        </w:tc>
      </w:tr>
      <w:tr>
        <w:tblPrEx>
          <w:tblLayout w:type="fixed"/>
          <w:tblCellMar>
            <w:top w:w="0" w:type="dxa"/>
            <w:left w:w="108" w:type="dxa"/>
            <w:bottom w:w="0" w:type="dxa"/>
            <w:right w:w="108" w:type="dxa"/>
          </w:tblCellMar>
        </w:tblPrEx>
        <w:trPr>
          <w:trHeight w:val="1322" w:hRule="atLeast"/>
        </w:trPr>
        <w:tc>
          <w:tcPr>
            <w:tcW w:w="14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27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850" w:type="dxa"/>
            <w:tcBorders>
              <w:top w:val="single" w:color="auto" w:sz="4" w:space="0"/>
              <w:left w:val="nil"/>
              <w:bottom w:val="nil"/>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5</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当地灵活就业人员参保占比不超过全省中位数水平的，得5分；每超过1个百分点的，扣0.5分，扣完为止。</w:t>
            </w:r>
          </w:p>
        </w:tc>
      </w:tr>
      <w:tr>
        <w:tblPrEx>
          <w:tblLayout w:type="fixed"/>
          <w:tblCellMar>
            <w:top w:w="0" w:type="dxa"/>
            <w:left w:w="108" w:type="dxa"/>
            <w:bottom w:w="0" w:type="dxa"/>
            <w:right w:w="108" w:type="dxa"/>
          </w:tblCellMar>
        </w:tblPrEx>
        <w:trPr>
          <w:trHeight w:val="1508" w:hRule="atLeast"/>
        </w:trPr>
        <w:tc>
          <w:tcPr>
            <w:tcW w:w="14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27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5</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当地单位参保人数与单位就业人数之比达到全省平均水平的，得5分。低于的，每低1个百分点扣0.2分，扣完为止。</w:t>
            </w:r>
          </w:p>
        </w:tc>
      </w:tr>
      <w:tr>
        <w:tblPrEx>
          <w:tblLayout w:type="fixed"/>
          <w:tblCellMar>
            <w:top w:w="0" w:type="dxa"/>
            <w:left w:w="108" w:type="dxa"/>
            <w:bottom w:w="0" w:type="dxa"/>
            <w:right w:w="108" w:type="dxa"/>
          </w:tblCellMar>
        </w:tblPrEx>
        <w:trPr>
          <w:trHeight w:val="1978" w:hRule="atLeast"/>
        </w:trPr>
        <w:tc>
          <w:tcPr>
            <w:tcW w:w="14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5</w:t>
            </w:r>
          </w:p>
        </w:tc>
        <w:tc>
          <w:tcPr>
            <w:tcW w:w="127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人均缴费基数</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5</w:t>
            </w:r>
          </w:p>
        </w:tc>
        <w:tc>
          <w:tcPr>
            <w:tcW w:w="5300" w:type="dxa"/>
            <w:tcBorders>
              <w:top w:val="single" w:color="auto" w:sz="4" w:space="0"/>
              <w:left w:val="nil"/>
              <w:bottom w:val="single" w:color="auto" w:sz="4" w:space="0"/>
              <w:right w:val="single" w:color="auto" w:sz="4" w:space="0"/>
            </w:tcBorders>
            <w:shd w:val="clear" w:color="000000"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单位参保人员人均缴费基数占当地上年全口径城镇就业人员平均工资的比例达到全省平均水平的，得5分。低于的，每低1个百分点扣0.2分，扣完为止；高于的，每高1个百分点另加0.2分，最多加3分。</w:t>
            </w:r>
          </w:p>
        </w:tc>
      </w:tr>
      <w:tr>
        <w:tblPrEx>
          <w:tblLayout w:type="fixed"/>
          <w:tblCellMar>
            <w:top w:w="0" w:type="dxa"/>
            <w:left w:w="108" w:type="dxa"/>
            <w:bottom w:w="0" w:type="dxa"/>
            <w:right w:w="108" w:type="dxa"/>
          </w:tblCellMar>
        </w:tblPrEx>
        <w:trPr>
          <w:trHeight w:val="1451" w:hRule="atLeast"/>
        </w:trPr>
        <w:tc>
          <w:tcPr>
            <w:tcW w:w="14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27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5</w:t>
            </w:r>
          </w:p>
        </w:tc>
        <w:tc>
          <w:tcPr>
            <w:tcW w:w="5300" w:type="dxa"/>
            <w:tcBorders>
              <w:top w:val="single" w:color="auto" w:sz="4" w:space="0"/>
              <w:left w:val="nil"/>
              <w:bottom w:val="single" w:color="auto" w:sz="4" w:space="0"/>
              <w:right w:val="single" w:color="auto" w:sz="4" w:space="0"/>
            </w:tcBorders>
            <w:shd w:val="clear" w:color="000000"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单位人均缴费基数较上年增幅达到当地上年城镇私营单位就业人员平均工资增长率的，得5分；低于的，每低1个百分点减0.5分，扣完为止。</w:t>
            </w:r>
          </w:p>
        </w:tc>
      </w:tr>
      <w:tr>
        <w:tblPrEx>
          <w:tblLayout w:type="fixed"/>
          <w:tblCellMar>
            <w:top w:w="0" w:type="dxa"/>
            <w:left w:w="108" w:type="dxa"/>
            <w:bottom w:w="0" w:type="dxa"/>
            <w:right w:w="108" w:type="dxa"/>
          </w:tblCellMar>
        </w:tblPrEx>
        <w:trPr>
          <w:trHeight w:val="1696" w:hRule="atLeast"/>
        </w:trPr>
        <w:tc>
          <w:tcPr>
            <w:tcW w:w="14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27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kern w:val="0"/>
                <w:sz w:val="24"/>
              </w:rPr>
            </w:pPr>
            <w:r>
              <w:rPr>
                <w:kern w:val="0"/>
                <w:sz w:val="24"/>
              </w:rPr>
              <w:t>5</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灵活就业人员人均缴费基数达到全省最低缴费基数的，得5分；低于的，每低1个百分点扣0.2分，扣完为止；高于全省的，每高出1个百分点加0.2分，最多加3分。</w:t>
            </w:r>
          </w:p>
        </w:tc>
      </w:tr>
      <w:tr>
        <w:tblPrEx>
          <w:tblLayout w:type="fixed"/>
          <w:tblCellMar>
            <w:top w:w="0" w:type="dxa"/>
            <w:left w:w="108" w:type="dxa"/>
            <w:bottom w:w="0" w:type="dxa"/>
            <w:right w:w="108" w:type="dxa"/>
          </w:tblCellMar>
        </w:tblPrEx>
        <w:trPr>
          <w:trHeight w:val="1518" w:hRule="atLeast"/>
        </w:trPr>
        <w:tc>
          <w:tcPr>
            <w:tcW w:w="140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6</w:t>
            </w:r>
          </w:p>
        </w:tc>
        <w:tc>
          <w:tcPr>
            <w:tcW w:w="127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基金预算收入执行情况</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15</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完成年度基金收入预算的，得15分；未完成的，按低出的百分点扣分，扣完为止；超额完成的，按超出的百分点加分，最多加3分。</w:t>
            </w:r>
          </w:p>
        </w:tc>
      </w:tr>
      <w:tr>
        <w:tblPrEx>
          <w:tblLayout w:type="fixed"/>
          <w:tblCellMar>
            <w:top w:w="0" w:type="dxa"/>
            <w:left w:w="108" w:type="dxa"/>
            <w:bottom w:w="0" w:type="dxa"/>
            <w:right w:w="108" w:type="dxa"/>
          </w:tblCellMar>
        </w:tblPrEx>
        <w:trPr>
          <w:trHeight w:val="1110" w:hRule="atLeast"/>
        </w:trPr>
        <w:tc>
          <w:tcPr>
            <w:tcW w:w="1408"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确保发放</w:t>
            </w:r>
            <w:r>
              <w:rPr>
                <w:rFonts w:hint="eastAsia" w:ascii="方正黑体_GBK" w:hAnsi="宋体" w:eastAsia="方正黑体_GBK" w:cs="宋体"/>
                <w:kern w:val="0"/>
                <w:sz w:val="24"/>
              </w:rPr>
              <w:br w:type="textWrapping"/>
            </w:r>
            <w:r>
              <w:rPr>
                <w:rFonts w:hint="eastAsia" w:ascii="方正黑体_GBK" w:hAnsi="宋体" w:eastAsia="方正黑体_GBK" w:cs="宋体"/>
                <w:kern w:val="0"/>
                <w:sz w:val="24"/>
              </w:rPr>
              <w:t>情况     （10分）</w:t>
            </w:r>
          </w:p>
        </w:tc>
        <w:tc>
          <w:tcPr>
            <w:tcW w:w="100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7</w:t>
            </w:r>
          </w:p>
        </w:tc>
        <w:tc>
          <w:tcPr>
            <w:tcW w:w="127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养老金按时足额发放情况</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10</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当期做到基本养老金按时足额发放的，得10分；当期出现拖欠的，取消激励资格。</w:t>
            </w:r>
          </w:p>
        </w:tc>
      </w:tr>
      <w:tr>
        <w:tblPrEx>
          <w:tblLayout w:type="fixed"/>
          <w:tblCellMar>
            <w:top w:w="0" w:type="dxa"/>
            <w:left w:w="108" w:type="dxa"/>
            <w:bottom w:w="0" w:type="dxa"/>
            <w:right w:w="108" w:type="dxa"/>
          </w:tblCellMar>
        </w:tblPrEx>
        <w:trPr>
          <w:trHeight w:val="1296" w:hRule="atLeast"/>
        </w:trPr>
        <w:tc>
          <w:tcPr>
            <w:tcW w:w="1408"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风险防控情况（5分）</w:t>
            </w:r>
          </w:p>
        </w:tc>
        <w:tc>
          <w:tcPr>
            <w:tcW w:w="100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8</w:t>
            </w:r>
          </w:p>
        </w:tc>
        <w:tc>
          <w:tcPr>
            <w:tcW w:w="127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r>
              <w:rPr>
                <w:rFonts w:hint="eastAsia" w:ascii="方正黑体_GBK" w:hAnsi="宋体" w:eastAsia="方正黑体_GBK" w:cs="宋体"/>
                <w:kern w:val="0"/>
                <w:sz w:val="24"/>
              </w:rPr>
              <w:t>有无违法违规案件发生</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5</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发生违法违规案件、发生造成较大社会影响事件的，取消激励资格。因违反国家和省政策规定被省约谈、查处的，不得分。</w:t>
            </w:r>
          </w:p>
        </w:tc>
      </w:tr>
      <w:tr>
        <w:tblPrEx>
          <w:tblLayout w:type="fixed"/>
          <w:tblCellMar>
            <w:top w:w="0" w:type="dxa"/>
            <w:left w:w="108" w:type="dxa"/>
            <w:bottom w:w="0" w:type="dxa"/>
            <w:right w:w="108" w:type="dxa"/>
          </w:tblCellMar>
        </w:tblPrEx>
        <w:trPr>
          <w:trHeight w:val="1191" w:hRule="atLeast"/>
        </w:trPr>
        <w:tc>
          <w:tcPr>
            <w:tcW w:w="1408" w:type="dxa"/>
            <w:tcBorders>
              <w:top w:val="nil"/>
              <w:left w:val="single" w:color="auto" w:sz="4" w:space="0"/>
              <w:bottom w:val="nil"/>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审计问题整改情况（10分）</w:t>
            </w:r>
          </w:p>
        </w:tc>
        <w:tc>
          <w:tcPr>
            <w:tcW w:w="1005" w:type="dxa"/>
            <w:tcBorders>
              <w:top w:val="nil"/>
              <w:left w:val="nil"/>
              <w:bottom w:val="nil"/>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9</w:t>
            </w:r>
          </w:p>
        </w:tc>
        <w:tc>
          <w:tcPr>
            <w:tcW w:w="127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r>
              <w:rPr>
                <w:rFonts w:hint="eastAsia" w:ascii="方正黑体_GBK" w:hAnsi="宋体" w:eastAsia="方正黑体_GBK" w:cs="宋体"/>
                <w:kern w:val="0"/>
                <w:sz w:val="24"/>
              </w:rPr>
              <w:t>是否完成审计问题整改</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color w:val="000000"/>
                <w:kern w:val="0"/>
                <w:sz w:val="24"/>
              </w:rPr>
            </w:pPr>
            <w:r>
              <w:rPr>
                <w:color w:val="000000"/>
                <w:kern w:val="0"/>
                <w:sz w:val="24"/>
              </w:rPr>
              <w:t>10</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对全省企业职工基本养老保险审计发现的问题，有一项未整改落实到位的，扣2分，扣完为止。</w:t>
            </w:r>
          </w:p>
        </w:tc>
      </w:tr>
      <w:tr>
        <w:tblPrEx>
          <w:tblLayout w:type="fixed"/>
          <w:tblCellMar>
            <w:top w:w="0" w:type="dxa"/>
            <w:left w:w="108" w:type="dxa"/>
            <w:bottom w:w="0" w:type="dxa"/>
            <w:right w:w="108" w:type="dxa"/>
          </w:tblCellMar>
        </w:tblPrEx>
        <w:trPr>
          <w:trHeight w:val="972" w:hRule="atLeast"/>
        </w:trPr>
        <w:tc>
          <w:tcPr>
            <w:tcW w:w="14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基金上解</w:t>
            </w:r>
            <w:r>
              <w:rPr>
                <w:rFonts w:hint="eastAsia" w:ascii="方正黑体_GBK" w:hAnsi="宋体" w:eastAsia="方正黑体_GBK" w:cs="宋体"/>
                <w:kern w:val="0"/>
                <w:sz w:val="24"/>
              </w:rPr>
              <w:br w:type="textWrapping"/>
            </w:r>
            <w:r>
              <w:rPr>
                <w:rFonts w:hint="eastAsia" w:ascii="方正黑体_GBK" w:hAnsi="宋体" w:eastAsia="方正黑体_GBK" w:cs="宋体"/>
                <w:kern w:val="0"/>
                <w:sz w:val="24"/>
              </w:rPr>
              <w:t>情况</w:t>
            </w:r>
            <w:r>
              <w:rPr>
                <w:rFonts w:hint="eastAsia" w:ascii="方正黑体_GBK" w:hAnsi="宋体" w:eastAsia="方正黑体_GBK" w:cs="宋体"/>
                <w:kern w:val="0"/>
                <w:sz w:val="24"/>
              </w:rPr>
              <w:br w:type="textWrapping"/>
            </w:r>
            <w:r>
              <w:rPr>
                <w:rFonts w:hint="eastAsia" w:ascii="方正黑体_GBK" w:hAnsi="宋体" w:eastAsia="方正黑体_GBK" w:cs="宋体"/>
                <w:kern w:val="0"/>
                <w:sz w:val="24"/>
              </w:rPr>
              <w:t>（加分项）</w:t>
            </w:r>
          </w:p>
        </w:tc>
        <w:tc>
          <w:tcPr>
            <w:tcW w:w="10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方正黑体_GBK" w:hAnsi="宋体" w:eastAsia="方正黑体_GBK" w:cs="宋体"/>
                <w:kern w:val="0"/>
                <w:sz w:val="24"/>
              </w:rPr>
            </w:pPr>
            <w:r>
              <w:rPr>
                <w:rFonts w:hint="eastAsia" w:ascii="方正黑体_GBK" w:hAnsi="宋体" w:eastAsia="方正黑体_GBK" w:cs="宋体"/>
                <w:kern w:val="0"/>
                <w:sz w:val="24"/>
              </w:rPr>
              <w:t>10</w:t>
            </w:r>
          </w:p>
        </w:tc>
        <w:tc>
          <w:tcPr>
            <w:tcW w:w="127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省级调剂金上解情况</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kern w:val="0"/>
                <w:sz w:val="24"/>
              </w:rPr>
            </w:pPr>
            <w:r>
              <w:rPr>
                <w:kern w:val="0"/>
                <w:sz w:val="24"/>
              </w:rPr>
              <w:t>——</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按照省规定按时足额上解省级调剂金的，加3分，否则，每晚1天扣0.1分。</w:t>
            </w:r>
          </w:p>
        </w:tc>
      </w:tr>
      <w:tr>
        <w:tblPrEx>
          <w:tblLayout w:type="fixed"/>
          <w:tblCellMar>
            <w:top w:w="0" w:type="dxa"/>
            <w:left w:w="108" w:type="dxa"/>
            <w:bottom w:w="0" w:type="dxa"/>
            <w:right w:w="108" w:type="dxa"/>
          </w:tblCellMar>
        </w:tblPrEx>
        <w:trPr>
          <w:trHeight w:val="1218" w:hRule="atLeast"/>
        </w:trPr>
        <w:tc>
          <w:tcPr>
            <w:tcW w:w="140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005"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kern w:val="0"/>
                <w:sz w:val="24"/>
              </w:rPr>
            </w:pPr>
          </w:p>
        </w:tc>
        <w:tc>
          <w:tcPr>
            <w:tcW w:w="1273"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统收统支预调基金上解情况</w:t>
            </w: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kern w:val="0"/>
                <w:sz w:val="24"/>
              </w:rPr>
            </w:pPr>
            <w:r>
              <w:rPr>
                <w:kern w:val="0"/>
                <w:sz w:val="24"/>
              </w:rPr>
              <w:t>——</w:t>
            </w:r>
          </w:p>
        </w:tc>
        <w:tc>
          <w:tcPr>
            <w:tcW w:w="530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方正仿宋_GBK" w:hAnsi="宋体" w:eastAsia="方正仿宋_GBK" w:cs="宋体"/>
                <w:kern w:val="0"/>
                <w:sz w:val="24"/>
              </w:rPr>
            </w:pPr>
            <w:r>
              <w:rPr>
                <w:rFonts w:hint="eastAsia" w:ascii="方正仿宋_GBK" w:hAnsi="宋体" w:eastAsia="方正仿宋_GBK" w:cs="宋体"/>
                <w:kern w:val="0"/>
                <w:sz w:val="24"/>
              </w:rPr>
              <w:t>按照省规定按时足额上解省级统收统支预调基金的，加3分，否则，每晚1天扣0.1分。</w:t>
            </w:r>
          </w:p>
        </w:tc>
      </w:tr>
    </w:tbl>
    <w:p>
      <w:bookmarkStart w:id="0" w:name="_GoBack"/>
      <w:bookmarkEnd w:id="0"/>
    </w:p>
    <w:sectPr>
      <w:footerReference r:id="rId3" w:type="default"/>
      <w:footerReference r:id="rId4" w:type="even"/>
      <w:pgSz w:w="11906" w:h="16838"/>
      <w:pgMar w:top="1814" w:right="1531" w:bottom="1985" w:left="1531" w:header="851" w:footer="992" w:gutter="0"/>
      <w:cols w:space="720" w:num="1"/>
      <w:docGrid w:type="lines" w:linePitch="58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rPr>
    </w:pPr>
    <w:r>
      <w:rPr>
        <w:sz w:val="24"/>
      </w:rPr>
      <w:t>—</w:t>
    </w:r>
    <w:r>
      <w:rPr>
        <w:sz w:val="24"/>
      </w:rPr>
      <w:fldChar w:fldCharType="begin"/>
    </w:r>
    <w:r>
      <w:rPr>
        <w:sz w:val="24"/>
      </w:rPr>
      <w:instrText xml:space="preserve"> PAGE   \* MERGEFORMAT </w:instrText>
    </w:r>
    <w:r>
      <w:rPr>
        <w:sz w:val="24"/>
      </w:rPr>
      <w:fldChar w:fldCharType="separate"/>
    </w:r>
    <w:r>
      <w:rPr>
        <w:sz w:val="24"/>
        <w:lang w:val="zh-CN"/>
      </w:rPr>
      <w:t>6</w:t>
    </w:r>
    <w:r>
      <w:rPr>
        <w:sz w:val="24"/>
      </w:rPr>
      <w:fldChar w:fldCharType="end"/>
    </w:r>
    <w:r>
      <w:rPr>
        <w:sz w:val="24"/>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037EBB"/>
    <w:rsid w:val="70AD3C9B"/>
    <w:rsid w:val="7CA93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龚璨</cp:lastModifiedBy>
  <dcterms:modified xsi:type="dcterms:W3CDTF">2020-10-26T06:09:37Z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