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lang w:eastAsia="zh-CN"/>
        </w:rPr>
        <w:t>江苏省</w:t>
      </w:r>
      <w:r>
        <w:rPr>
          <w:rFonts w:hint="eastAsia" w:ascii="方正小标宋_GBK" w:hAnsi="方正小标宋_GBK" w:eastAsia="方正小标宋_GBK" w:cs="方正小标宋_GBK"/>
          <w:sz w:val="32"/>
          <w:szCs w:val="32"/>
        </w:rPr>
        <w:t>扬州市中医院</w:t>
      </w:r>
    </w:p>
    <w:p>
      <w:pPr>
        <w:jc w:val="center"/>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高层次人才引进和培养标准及其待遇（试行）</w:t>
      </w:r>
    </w:p>
    <w:p>
      <w:pPr>
        <w:jc w:val="center"/>
        <w:rPr>
          <w:rFonts w:ascii="方正小标宋_GBK" w:hAnsi="方正小标宋_GBK" w:eastAsia="方正小标宋_GBK" w:cs="方正小标宋_GBK"/>
          <w:sz w:val="32"/>
          <w:szCs w:val="32"/>
        </w:rPr>
      </w:pPr>
    </w:p>
    <w:p>
      <w:pPr>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为加快专科人才队伍建设，我院适时调整了高层次人才引进和培养的标准及其待遇，见下表。该标准自医院正式发布日起试行。</w:t>
      </w:r>
    </w:p>
    <w:tbl>
      <w:tblPr>
        <w:tblStyle w:val="6"/>
        <w:tblW w:w="8789" w:type="dxa"/>
        <w:tblInd w:w="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3"/>
        <w:gridCol w:w="827"/>
        <w:gridCol w:w="453"/>
        <w:gridCol w:w="3541"/>
        <w:gridCol w:w="1843"/>
        <w:gridCol w:w="156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6" w:hRule="atLeast"/>
        </w:trPr>
        <w:tc>
          <w:tcPr>
            <w:tcW w:w="563" w:type="dxa"/>
            <w:tcBorders>
              <w:top w:val="single" w:color="auto" w:sz="4" w:space="0"/>
              <w:left w:val="single" w:color="auto" w:sz="4" w:space="0"/>
              <w:bottom w:val="single" w:color="auto" w:sz="4" w:space="0"/>
            </w:tcBorders>
            <w:vAlign w:val="center"/>
          </w:tcPr>
          <w:p>
            <w:pPr>
              <w:jc w:val="center"/>
              <w:rPr>
                <w:rFonts w:cs="方正仿宋_GBK" w:asciiTheme="majorEastAsia" w:hAnsiTheme="majorEastAsia" w:eastAsiaTheme="majorEastAsia"/>
                <w:b/>
                <w:bCs/>
              </w:rPr>
            </w:pPr>
            <w:r>
              <w:rPr>
                <w:rFonts w:hint="eastAsia" w:cs="方正仿宋_GBK" w:asciiTheme="majorEastAsia" w:hAnsiTheme="majorEastAsia" w:eastAsiaTheme="majorEastAsia"/>
                <w:b/>
                <w:bCs/>
              </w:rPr>
              <w:t>序号</w:t>
            </w:r>
          </w:p>
        </w:tc>
        <w:tc>
          <w:tcPr>
            <w:tcW w:w="827" w:type="dxa"/>
            <w:tcBorders>
              <w:top w:val="single" w:color="auto" w:sz="4" w:space="0"/>
              <w:bottom w:val="single" w:color="auto" w:sz="4" w:space="0"/>
            </w:tcBorders>
            <w:vAlign w:val="center"/>
          </w:tcPr>
          <w:p>
            <w:pPr>
              <w:jc w:val="center"/>
              <w:rPr>
                <w:rFonts w:cs="方正仿宋_GBK" w:asciiTheme="majorEastAsia" w:hAnsiTheme="majorEastAsia" w:eastAsiaTheme="majorEastAsia"/>
                <w:b/>
                <w:bCs/>
              </w:rPr>
            </w:pPr>
            <w:r>
              <w:rPr>
                <w:rFonts w:hint="eastAsia" w:cs="方正仿宋_GBK" w:asciiTheme="majorEastAsia" w:hAnsiTheme="majorEastAsia" w:eastAsiaTheme="majorEastAsia"/>
                <w:b/>
                <w:bCs/>
              </w:rPr>
              <w:t>人才</w:t>
            </w:r>
          </w:p>
          <w:p>
            <w:pPr>
              <w:jc w:val="center"/>
              <w:rPr>
                <w:rFonts w:cs="方正仿宋_GBK" w:asciiTheme="majorEastAsia" w:hAnsiTheme="majorEastAsia" w:eastAsiaTheme="majorEastAsia"/>
                <w:b/>
                <w:bCs/>
              </w:rPr>
            </w:pPr>
            <w:r>
              <w:rPr>
                <w:rFonts w:hint="eastAsia" w:cs="方正仿宋_GBK" w:asciiTheme="majorEastAsia" w:hAnsiTheme="majorEastAsia" w:eastAsiaTheme="majorEastAsia"/>
                <w:b/>
                <w:bCs/>
              </w:rPr>
              <w:t>层次</w:t>
            </w:r>
          </w:p>
        </w:tc>
        <w:tc>
          <w:tcPr>
            <w:tcW w:w="453" w:type="dxa"/>
            <w:tcBorders>
              <w:top w:val="single" w:color="auto" w:sz="4" w:space="0"/>
              <w:bottom w:val="single" w:color="auto" w:sz="4" w:space="0"/>
            </w:tcBorders>
            <w:textDirection w:val="tbRlV"/>
            <w:vAlign w:val="center"/>
          </w:tcPr>
          <w:p>
            <w:pPr>
              <w:jc w:val="center"/>
              <w:rPr>
                <w:rFonts w:cs="方正仿宋_GBK" w:asciiTheme="majorEastAsia" w:hAnsiTheme="majorEastAsia" w:eastAsiaTheme="majorEastAsia"/>
                <w:b/>
                <w:bCs/>
              </w:rPr>
            </w:pPr>
            <w:r>
              <w:rPr>
                <w:rFonts w:hint="eastAsia" w:cs="方正仿宋_GBK" w:asciiTheme="majorEastAsia" w:hAnsiTheme="majorEastAsia" w:eastAsiaTheme="majorEastAsia"/>
                <w:b/>
                <w:bCs/>
              </w:rPr>
              <w:t>专业</w:t>
            </w:r>
          </w:p>
        </w:tc>
        <w:tc>
          <w:tcPr>
            <w:tcW w:w="3541" w:type="dxa"/>
            <w:tcBorders>
              <w:top w:val="single" w:color="auto" w:sz="4" w:space="0"/>
              <w:bottom w:val="single" w:color="auto" w:sz="4" w:space="0"/>
            </w:tcBorders>
            <w:vAlign w:val="center"/>
          </w:tcPr>
          <w:p>
            <w:pPr>
              <w:jc w:val="center"/>
              <w:rPr>
                <w:rFonts w:cs="方正仿宋_GBK" w:asciiTheme="majorEastAsia" w:hAnsiTheme="majorEastAsia" w:eastAsiaTheme="majorEastAsia"/>
                <w:b/>
                <w:bCs/>
              </w:rPr>
            </w:pPr>
            <w:r>
              <w:rPr>
                <w:rFonts w:hint="eastAsia" w:cs="方正仿宋_GBK" w:asciiTheme="majorEastAsia" w:hAnsiTheme="majorEastAsia" w:eastAsiaTheme="majorEastAsia"/>
                <w:b/>
                <w:bCs/>
              </w:rPr>
              <w:t>具体业绩标准</w:t>
            </w:r>
          </w:p>
          <w:p>
            <w:pPr>
              <w:jc w:val="center"/>
              <w:rPr>
                <w:rFonts w:cs="方正仿宋_GBK" w:asciiTheme="majorEastAsia" w:hAnsiTheme="majorEastAsia" w:eastAsiaTheme="majorEastAsia"/>
                <w:b/>
                <w:bCs/>
              </w:rPr>
            </w:pPr>
            <w:r>
              <w:rPr>
                <w:rFonts w:hint="eastAsia" w:cs="方正仿宋_GBK" w:asciiTheme="majorEastAsia" w:hAnsiTheme="majorEastAsia" w:eastAsiaTheme="majorEastAsia"/>
                <w:b/>
                <w:bCs/>
              </w:rPr>
              <w:t>（近五年以第一作者发表的论文、影响</w:t>
            </w:r>
          </w:p>
          <w:p>
            <w:pPr>
              <w:jc w:val="center"/>
              <w:rPr>
                <w:rFonts w:cs="方正仿宋_GBK" w:asciiTheme="majorEastAsia" w:hAnsiTheme="majorEastAsia" w:eastAsiaTheme="majorEastAsia"/>
                <w:b/>
                <w:bCs/>
              </w:rPr>
            </w:pPr>
            <w:r>
              <w:rPr>
                <w:rFonts w:hint="eastAsia" w:cs="方正仿宋_GBK" w:asciiTheme="majorEastAsia" w:hAnsiTheme="majorEastAsia" w:eastAsiaTheme="majorEastAsia"/>
                <w:b/>
                <w:bCs/>
              </w:rPr>
              <w:t>因子等，支持的科研项目、专利、业绩、获奖等）</w:t>
            </w:r>
          </w:p>
        </w:tc>
        <w:tc>
          <w:tcPr>
            <w:tcW w:w="1843" w:type="dxa"/>
            <w:tcBorders>
              <w:top w:val="single" w:color="auto" w:sz="4" w:space="0"/>
              <w:bottom w:val="single" w:color="auto" w:sz="4" w:space="0"/>
            </w:tcBorders>
            <w:vAlign w:val="center"/>
          </w:tcPr>
          <w:p>
            <w:pPr>
              <w:jc w:val="center"/>
              <w:rPr>
                <w:rFonts w:cs="方正仿宋_GBK" w:asciiTheme="majorEastAsia" w:hAnsiTheme="majorEastAsia" w:eastAsiaTheme="majorEastAsia"/>
                <w:b/>
                <w:bCs/>
              </w:rPr>
            </w:pPr>
            <w:r>
              <w:rPr>
                <w:rFonts w:hint="eastAsia" w:cs="方正仿宋_GBK" w:asciiTheme="majorEastAsia" w:hAnsiTheme="majorEastAsia" w:eastAsiaTheme="majorEastAsia"/>
                <w:b/>
                <w:bCs/>
              </w:rPr>
              <w:t>其他条件或说明（例如学历学位、毕业学校、职称等）</w:t>
            </w:r>
          </w:p>
        </w:tc>
        <w:tc>
          <w:tcPr>
            <w:tcW w:w="1562" w:type="dxa"/>
            <w:tcBorders>
              <w:top w:val="single" w:color="auto" w:sz="4" w:space="0"/>
              <w:bottom w:val="single" w:color="auto" w:sz="4" w:space="0"/>
              <w:right w:val="single" w:color="auto" w:sz="4" w:space="0"/>
            </w:tcBorders>
            <w:vAlign w:val="center"/>
          </w:tcPr>
          <w:p>
            <w:pPr>
              <w:jc w:val="center"/>
              <w:rPr>
                <w:rFonts w:cs="方正仿宋_GBK" w:asciiTheme="majorEastAsia" w:hAnsiTheme="majorEastAsia" w:eastAsiaTheme="majorEastAsia"/>
                <w:b/>
                <w:bCs/>
              </w:rPr>
            </w:pPr>
          </w:p>
          <w:p>
            <w:pPr>
              <w:jc w:val="center"/>
              <w:rPr>
                <w:rFonts w:cs="方正仿宋_GBK" w:asciiTheme="majorEastAsia" w:hAnsiTheme="majorEastAsia" w:eastAsiaTheme="majorEastAsia"/>
                <w:b/>
                <w:bCs/>
              </w:rPr>
            </w:pPr>
            <w:r>
              <w:rPr>
                <w:rFonts w:hint="eastAsia" w:cs="方正仿宋_GBK" w:asciiTheme="majorEastAsia" w:hAnsiTheme="majorEastAsia" w:eastAsiaTheme="majorEastAsia"/>
                <w:b/>
                <w:bCs/>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3" w:hRule="atLeast"/>
        </w:trPr>
        <w:tc>
          <w:tcPr>
            <w:tcW w:w="563" w:type="dxa"/>
            <w:tcBorders>
              <w:top w:val="single" w:color="auto" w:sz="4" w:space="0"/>
            </w:tcBorders>
            <w:vAlign w:val="center"/>
          </w:tcPr>
          <w:p>
            <w:pPr>
              <w:spacing w:line="280" w:lineRule="exact"/>
              <w:jc w:val="center"/>
              <w:rPr>
                <w:rFonts w:ascii="方正仿宋_GBK" w:hAnsi="方正仿宋_GBK" w:eastAsia="方正仿宋_GBK" w:cs="方正仿宋_GBK"/>
              </w:rPr>
            </w:pPr>
            <w:r>
              <w:rPr>
                <w:rFonts w:hint="eastAsia" w:ascii="方正仿宋_GBK" w:hAnsi="方正仿宋_GBK" w:eastAsia="方正仿宋_GBK" w:cs="方正仿宋_GBK"/>
              </w:rPr>
              <w:t>1</w:t>
            </w:r>
          </w:p>
        </w:tc>
        <w:tc>
          <w:tcPr>
            <w:tcW w:w="827" w:type="dxa"/>
            <w:tcBorders>
              <w:top w:val="single" w:color="auto" w:sz="4" w:space="0"/>
            </w:tcBorders>
            <w:vAlign w:val="center"/>
          </w:tcPr>
          <w:p>
            <w:pPr>
              <w:spacing w:line="280" w:lineRule="exact"/>
              <w:jc w:val="center"/>
              <w:rPr>
                <w:rFonts w:ascii="方正仿宋_GBK" w:hAnsi="方正仿宋_GBK" w:eastAsia="方正仿宋_GBK" w:cs="方正仿宋_GBK"/>
              </w:rPr>
            </w:pPr>
            <w:r>
              <w:rPr>
                <w:rFonts w:hint="eastAsia" w:ascii="方正仿宋_GBK" w:hAnsi="方正仿宋_GBK" w:eastAsia="方正仿宋_GBK" w:cs="方正仿宋_GBK"/>
              </w:rPr>
              <w:t>亚专业及以上学科或学术带头人</w:t>
            </w:r>
          </w:p>
        </w:tc>
        <w:tc>
          <w:tcPr>
            <w:tcW w:w="453" w:type="dxa"/>
            <w:vMerge w:val="restart"/>
            <w:tcBorders>
              <w:top w:val="single" w:color="auto" w:sz="4" w:space="0"/>
            </w:tcBorders>
            <w:vAlign w:val="center"/>
          </w:tcPr>
          <w:p>
            <w:pPr>
              <w:spacing w:line="280" w:lineRule="exact"/>
              <w:rPr>
                <w:rFonts w:eastAsia="宋体"/>
              </w:rPr>
            </w:pPr>
            <w:r>
              <w:rPr>
                <w:rFonts w:hint="eastAsia" w:ascii="方正仿宋_GBK" w:hAnsi="方正仿宋_GBK" w:eastAsia="方正仿宋_GBK" w:cs="方正仿宋_GBK"/>
              </w:rPr>
              <w:t>医学</w:t>
            </w:r>
          </w:p>
        </w:tc>
        <w:tc>
          <w:tcPr>
            <w:tcW w:w="3541" w:type="dxa"/>
            <w:tcBorders>
              <w:top w:val="single" w:color="auto" w:sz="4" w:space="0"/>
            </w:tcBorders>
            <w:vAlign w:val="center"/>
          </w:tcPr>
          <w:p>
            <w:pPr>
              <w:spacing w:before="71" w:line="280" w:lineRule="exact"/>
              <w:ind w:left="111" w:right="79"/>
              <w:rPr>
                <w:rFonts w:ascii="微软雅黑" w:hAnsi="微软雅黑" w:eastAsia="微软雅黑" w:cs="微软雅黑"/>
                <w:sz w:val="18"/>
                <w:szCs w:val="18"/>
              </w:rPr>
            </w:pPr>
            <w:r>
              <w:rPr>
                <w:rFonts w:hint="eastAsia" w:ascii="方正仿宋_GBK" w:hAnsi="方正仿宋_GBK" w:eastAsia="方正仿宋_GBK" w:cs="方正仿宋_GBK"/>
              </w:rPr>
              <w:t>入选为江苏省六大人才高峰（B类）、江苏省333工程（第二层次）等其它同层次省级人才荣誉或其它省的省级高层次人才工程入选者；或省级专业学会副主任委员及以上人才等；或主持国家自然科学基金面上项目以上或省部级重点科研项目2项以上；或获省科学技术一等奖（排名前3）或二等奖（排名前2）；或近3年作为第一完成人获得省级医学新技术引进奖一等奖≥1项；或以第一作者（通讯作者）在本学科SCI一区、二区期刊发表论文4篇，或三、四区期刊论文6篇；或影响因子（IF）≥5论文2篇</w:t>
            </w:r>
          </w:p>
        </w:tc>
        <w:tc>
          <w:tcPr>
            <w:tcW w:w="1843" w:type="dxa"/>
            <w:tcBorders>
              <w:top w:val="single" w:color="auto" w:sz="4" w:space="0"/>
            </w:tcBorders>
            <w:vAlign w:val="center"/>
          </w:tcPr>
          <w:p>
            <w:pPr>
              <w:spacing w:before="72" w:line="280" w:lineRule="exact"/>
              <w:ind w:left="113" w:right="101"/>
              <w:rPr>
                <w:rFonts w:ascii="微软雅黑" w:hAnsi="微软雅黑" w:eastAsia="微软雅黑" w:cs="微软雅黑"/>
                <w:sz w:val="18"/>
                <w:szCs w:val="18"/>
              </w:rPr>
            </w:pPr>
            <w:r>
              <w:rPr>
                <w:rFonts w:hint="eastAsia" w:ascii="方正仿宋_GBK" w:hAnsi="方正仿宋_GBK" w:eastAsia="方正仿宋_GBK" w:cs="方正仿宋_GBK"/>
              </w:rPr>
              <w:t>有博士学位和正高级专业技术职务，一般不超过50周岁；杰出和紧缺人才可适当放宽要求。</w:t>
            </w:r>
          </w:p>
        </w:tc>
        <w:tc>
          <w:tcPr>
            <w:tcW w:w="1562" w:type="dxa"/>
            <w:tcBorders>
              <w:top w:val="single" w:color="auto" w:sz="4" w:space="0"/>
            </w:tcBorders>
            <w:vAlign w:val="center"/>
          </w:tcPr>
          <w:p>
            <w:pPr>
              <w:spacing w:before="78" w:line="280" w:lineRule="exact"/>
              <w:ind w:left="115" w:right="104" w:firstLine="2"/>
              <w:rPr>
                <w:rFonts w:ascii="微软雅黑" w:hAnsi="微软雅黑" w:eastAsia="微软雅黑" w:cs="微软雅黑"/>
                <w:sz w:val="18"/>
                <w:szCs w:val="18"/>
              </w:rPr>
            </w:pPr>
            <w:r>
              <w:rPr>
                <w:rFonts w:hint="eastAsia" w:ascii="方正仿宋_GBK" w:hAnsi="方正仿宋_GBK" w:eastAsia="方正仿宋_GBK" w:cs="方正仿宋_GBK"/>
              </w:rPr>
              <w:t>一次性住房补贴及安家费80-100万，科研启动金20万。如符合并聘为我院省重点专科学科带头人，待遇另加30万住房补贴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29" w:hRule="atLeast"/>
        </w:trPr>
        <w:tc>
          <w:tcPr>
            <w:tcW w:w="563" w:type="dxa"/>
            <w:vAlign w:val="center"/>
          </w:tcPr>
          <w:p>
            <w:pPr>
              <w:spacing w:line="280" w:lineRule="exact"/>
              <w:jc w:val="center"/>
              <w:rPr>
                <w:rFonts w:ascii="方正仿宋_GBK" w:hAnsi="方正仿宋_GBK" w:eastAsia="方正仿宋_GBK" w:cs="方正仿宋_GBK"/>
              </w:rPr>
            </w:pPr>
            <w:r>
              <w:rPr>
                <w:rFonts w:hint="eastAsia" w:ascii="方正仿宋_GBK" w:hAnsi="方正仿宋_GBK" w:eastAsia="方正仿宋_GBK" w:cs="方正仿宋_GBK"/>
              </w:rPr>
              <w:t>2</w:t>
            </w:r>
          </w:p>
        </w:tc>
        <w:tc>
          <w:tcPr>
            <w:tcW w:w="827" w:type="dxa"/>
            <w:vAlign w:val="center"/>
          </w:tcPr>
          <w:p>
            <w:pPr>
              <w:spacing w:line="280" w:lineRule="exact"/>
              <w:jc w:val="center"/>
              <w:rPr>
                <w:rFonts w:ascii="方正仿宋_GBK" w:hAnsi="方正仿宋_GBK" w:eastAsia="方正仿宋_GBK" w:cs="方正仿宋_GBK"/>
              </w:rPr>
            </w:pPr>
            <w:r>
              <w:rPr>
                <w:rFonts w:hint="eastAsia" w:ascii="方正仿宋_GBK" w:hAnsi="方正仿宋_GBK" w:eastAsia="方正仿宋_GBK" w:cs="方正仿宋_GBK"/>
              </w:rPr>
              <w:t>主任医师（同等级职称）</w:t>
            </w:r>
          </w:p>
        </w:tc>
        <w:tc>
          <w:tcPr>
            <w:tcW w:w="453" w:type="dxa"/>
            <w:vMerge w:val="continue"/>
            <w:vAlign w:val="center"/>
          </w:tcPr>
          <w:p>
            <w:pPr>
              <w:spacing w:line="280" w:lineRule="exact"/>
            </w:pPr>
          </w:p>
        </w:tc>
        <w:tc>
          <w:tcPr>
            <w:tcW w:w="3541" w:type="dxa"/>
            <w:vAlign w:val="center"/>
          </w:tcPr>
          <w:p>
            <w:pPr>
              <w:spacing w:line="280" w:lineRule="exact"/>
              <w:ind w:left="114" w:right="19"/>
              <w:rPr>
                <w:rFonts w:ascii="微软雅黑" w:hAnsi="微软雅黑" w:eastAsia="微软雅黑" w:cs="微软雅黑"/>
                <w:sz w:val="18"/>
                <w:szCs w:val="18"/>
              </w:rPr>
            </w:pPr>
            <w:r>
              <w:rPr>
                <w:rFonts w:hint="eastAsia" w:ascii="方正仿宋_GBK" w:hAnsi="方正仿宋_GBK" w:eastAsia="方正仿宋_GBK" w:cs="方正仿宋_GBK"/>
              </w:rPr>
              <w:t>为市级专业学会副主任委员及以上人才；或全国优秀中医临床人才（培养对象）；或主持国家自然科学基金面上项目等国家级科研课题1项；或获省科学技术三等奖1项（排名前3）或市厅科技成果一等奖（排名第1）；或以第一作者（通讯作者）在本学科SCI一区、二区期刊发表论文2篇；或三、四区期刊论文4篇；或影响因子（IF）≥5论文1篇</w:t>
            </w:r>
          </w:p>
        </w:tc>
        <w:tc>
          <w:tcPr>
            <w:tcW w:w="1843" w:type="dxa"/>
            <w:vAlign w:val="center"/>
          </w:tcPr>
          <w:p>
            <w:pPr>
              <w:spacing w:line="280" w:lineRule="exact"/>
              <w:ind w:left="115" w:right="104" w:firstLine="2"/>
              <w:rPr>
                <w:rFonts w:ascii="方正仿宋_GBK" w:hAnsi="方正仿宋_GBK" w:eastAsia="方正仿宋_GBK" w:cs="方正仿宋_GBK"/>
              </w:rPr>
            </w:pPr>
            <w:r>
              <w:rPr>
                <w:rFonts w:hint="eastAsia" w:ascii="方正仿宋_GBK" w:hAnsi="方正仿宋_GBK" w:eastAsia="方正仿宋_GBK" w:cs="方正仿宋_GBK"/>
              </w:rPr>
              <w:t>获得博士学位，在本学科领域有一定的知名度的主任医师或具有相当水平的海内外专家，年龄一般不超过50周岁。</w:t>
            </w:r>
          </w:p>
        </w:tc>
        <w:tc>
          <w:tcPr>
            <w:tcW w:w="1562" w:type="dxa"/>
            <w:vAlign w:val="center"/>
          </w:tcPr>
          <w:p>
            <w:pPr>
              <w:spacing w:line="280" w:lineRule="exact"/>
              <w:ind w:left="115" w:right="104" w:firstLine="2"/>
              <w:rPr>
                <w:rFonts w:ascii="方正仿宋_GBK" w:hAnsi="方正仿宋_GBK" w:eastAsia="方正仿宋_GBK" w:cs="方正仿宋_GBK"/>
              </w:rPr>
            </w:pPr>
            <w:r>
              <w:rPr>
                <w:rFonts w:hint="eastAsia" w:ascii="方正仿宋_GBK" w:hAnsi="方正仿宋_GBK" w:eastAsia="方正仿宋_GBK" w:cs="方正仿宋_GBK"/>
              </w:rPr>
              <w:t>一次性住房补贴及安家费70-80万，科研启动金10万。如符合并聘为我院省重点专科学科带头人，待遇另加10万住房补贴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8" w:hRule="atLeast"/>
        </w:trPr>
        <w:tc>
          <w:tcPr>
            <w:tcW w:w="563" w:type="dxa"/>
            <w:vAlign w:val="center"/>
          </w:tcPr>
          <w:p>
            <w:pPr>
              <w:spacing w:line="280" w:lineRule="exact"/>
              <w:jc w:val="center"/>
              <w:rPr>
                <w:rFonts w:ascii="方正仿宋_GBK" w:hAnsi="方正仿宋_GBK" w:eastAsia="方正仿宋_GBK" w:cs="方正仿宋_GBK"/>
              </w:rPr>
            </w:pPr>
            <w:r>
              <w:rPr>
                <w:rFonts w:hint="eastAsia" w:ascii="方正仿宋_GBK" w:hAnsi="方正仿宋_GBK" w:eastAsia="方正仿宋_GBK" w:cs="方正仿宋_GBK"/>
              </w:rPr>
              <w:t>3</w:t>
            </w:r>
          </w:p>
        </w:tc>
        <w:tc>
          <w:tcPr>
            <w:tcW w:w="827" w:type="dxa"/>
            <w:vAlign w:val="center"/>
          </w:tcPr>
          <w:p>
            <w:pPr>
              <w:spacing w:line="280" w:lineRule="exact"/>
              <w:jc w:val="center"/>
              <w:rPr>
                <w:rFonts w:ascii="方正仿宋_GBK" w:hAnsi="方正仿宋_GBK" w:eastAsia="方正仿宋_GBK" w:cs="方正仿宋_GBK"/>
              </w:rPr>
            </w:pPr>
            <w:r>
              <w:rPr>
                <w:rFonts w:hint="eastAsia" w:ascii="方正仿宋_GBK" w:hAnsi="方正仿宋_GBK" w:eastAsia="方正仿宋_GBK" w:cs="方正仿宋_GBK"/>
              </w:rPr>
              <w:t>学科和专业建设骨干</w:t>
            </w:r>
          </w:p>
        </w:tc>
        <w:tc>
          <w:tcPr>
            <w:tcW w:w="453" w:type="dxa"/>
            <w:vMerge w:val="continue"/>
            <w:textDirection w:val="tbRlV"/>
            <w:vAlign w:val="center"/>
          </w:tcPr>
          <w:p>
            <w:pPr>
              <w:spacing w:before="134" w:line="280" w:lineRule="exact"/>
              <w:ind w:firstLine="4216"/>
              <w:rPr>
                <w:rFonts w:ascii="微软雅黑" w:hAnsi="微软雅黑" w:eastAsia="微软雅黑" w:cs="微软雅黑"/>
                <w:sz w:val="18"/>
                <w:szCs w:val="18"/>
              </w:rPr>
            </w:pPr>
          </w:p>
        </w:tc>
        <w:tc>
          <w:tcPr>
            <w:tcW w:w="3541" w:type="dxa"/>
            <w:vAlign w:val="center"/>
          </w:tcPr>
          <w:p>
            <w:pPr>
              <w:spacing w:line="280" w:lineRule="exact"/>
              <w:ind w:left="111" w:right="98" w:firstLine="20"/>
              <w:rPr>
                <w:rFonts w:ascii="微软雅黑" w:hAnsi="微软雅黑" w:eastAsia="微软雅黑" w:cs="微软雅黑"/>
                <w:sz w:val="18"/>
                <w:szCs w:val="18"/>
              </w:rPr>
            </w:pPr>
            <w:r>
              <w:rPr>
                <w:rFonts w:hint="eastAsia" w:ascii="方正仿宋_GBK" w:hAnsi="方正仿宋_GBK" w:eastAsia="方正仿宋_GBK" w:cs="方正仿宋_GBK"/>
              </w:rPr>
              <w:t>全国/省优秀中医临床人才（含培养对象），或以第一作者或通信作者发表SCI论文4篇或能填补医院专业技术空白，主持省级科研项目1项</w:t>
            </w:r>
          </w:p>
        </w:tc>
        <w:tc>
          <w:tcPr>
            <w:tcW w:w="1843" w:type="dxa"/>
            <w:vAlign w:val="center"/>
          </w:tcPr>
          <w:p>
            <w:pPr>
              <w:spacing w:line="280" w:lineRule="exact"/>
              <w:ind w:left="113" w:right="105" w:firstLine="18"/>
              <w:rPr>
                <w:rFonts w:ascii="微软雅黑" w:hAnsi="微软雅黑" w:eastAsia="微软雅黑" w:cs="微软雅黑"/>
                <w:sz w:val="18"/>
                <w:szCs w:val="18"/>
              </w:rPr>
            </w:pPr>
            <w:r>
              <w:rPr>
                <w:rFonts w:hint="eastAsia" w:ascii="方正仿宋_GBK" w:hAnsi="方正仿宋_GBK" w:eastAsia="方正仿宋_GBK" w:cs="方正仿宋_GBK"/>
              </w:rPr>
              <w:t>国内外知名院校毕业博士、副主任医师（含同等级别职称），年龄一般不超过45周岁</w:t>
            </w:r>
          </w:p>
        </w:tc>
        <w:tc>
          <w:tcPr>
            <w:tcW w:w="1562" w:type="dxa"/>
            <w:vAlign w:val="center"/>
          </w:tcPr>
          <w:p>
            <w:pPr>
              <w:spacing w:line="280" w:lineRule="exact"/>
              <w:ind w:left="115" w:right="104" w:firstLine="2"/>
              <w:rPr>
                <w:rFonts w:ascii="微软雅黑" w:hAnsi="微软雅黑" w:eastAsia="微软雅黑" w:cs="微软雅黑"/>
                <w:sz w:val="18"/>
                <w:szCs w:val="18"/>
              </w:rPr>
            </w:pPr>
            <w:r>
              <w:rPr>
                <w:rFonts w:hint="eastAsia" w:ascii="方正仿宋_GBK" w:hAnsi="方正仿宋_GBK" w:eastAsia="方正仿宋_GBK" w:cs="方正仿宋_GBK"/>
              </w:rPr>
              <w:t>一次性住房补贴及安家费60-70万，科研启动金10万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8" w:hRule="atLeast"/>
        </w:trPr>
        <w:tc>
          <w:tcPr>
            <w:tcW w:w="563" w:type="dxa"/>
            <w:vAlign w:val="center"/>
          </w:tcPr>
          <w:p>
            <w:pPr>
              <w:spacing w:line="280" w:lineRule="exact"/>
              <w:jc w:val="center"/>
              <w:rPr>
                <w:rFonts w:ascii="方正仿宋_GBK" w:hAnsi="方正仿宋_GBK" w:eastAsia="方正仿宋_GBK" w:cs="方正仿宋_GBK"/>
              </w:rPr>
            </w:pPr>
            <w:r>
              <w:rPr>
                <w:rFonts w:hint="eastAsia" w:ascii="方正仿宋_GBK" w:hAnsi="方正仿宋_GBK" w:eastAsia="方正仿宋_GBK" w:cs="方正仿宋_GBK"/>
              </w:rPr>
              <w:t>4</w:t>
            </w:r>
          </w:p>
        </w:tc>
        <w:tc>
          <w:tcPr>
            <w:tcW w:w="827" w:type="dxa"/>
            <w:vAlign w:val="center"/>
          </w:tcPr>
          <w:p>
            <w:pPr>
              <w:spacing w:line="280" w:lineRule="exact"/>
              <w:jc w:val="center"/>
              <w:rPr>
                <w:rFonts w:ascii="方正仿宋_GBK" w:hAnsi="方正仿宋_GBK" w:eastAsia="方正仿宋_GBK" w:cs="方正仿宋_GBK"/>
              </w:rPr>
            </w:pPr>
            <w:r>
              <w:rPr>
                <w:rFonts w:hint="eastAsia" w:ascii="方正仿宋_GBK" w:hAnsi="方正仿宋_GBK" w:eastAsia="方正仿宋_GBK" w:cs="方正仿宋_GBK"/>
              </w:rPr>
              <w:t>优秀博士</w:t>
            </w:r>
          </w:p>
        </w:tc>
        <w:tc>
          <w:tcPr>
            <w:tcW w:w="453" w:type="dxa"/>
            <w:vMerge w:val="continue"/>
            <w:textDirection w:val="tbRlV"/>
            <w:vAlign w:val="center"/>
          </w:tcPr>
          <w:p>
            <w:pPr>
              <w:spacing w:line="280" w:lineRule="exact"/>
              <w:rPr>
                <w:b/>
                <w:bCs/>
              </w:rPr>
            </w:pPr>
          </w:p>
        </w:tc>
        <w:tc>
          <w:tcPr>
            <w:tcW w:w="3541" w:type="dxa"/>
            <w:vAlign w:val="center"/>
          </w:tcPr>
          <w:p>
            <w:pPr>
              <w:spacing w:line="280" w:lineRule="exact"/>
              <w:rPr>
                <w:rFonts w:ascii="方正仿宋_GBK" w:hAnsi="方正仿宋_GBK" w:eastAsia="方正仿宋_GBK" w:cs="方正仿宋_GBK"/>
              </w:rPr>
            </w:pPr>
            <w:r>
              <w:rPr>
                <w:rFonts w:hint="eastAsia" w:ascii="方正仿宋_GBK" w:hAnsi="方正仿宋_GBK" w:eastAsia="方正仿宋_GBK" w:cs="方正仿宋_GBK"/>
              </w:rPr>
              <w:t>以第一作者发表SCI论文2篇以上或累计影响因子5分以上，并主持市厅级及以上科研项目资助；或国内大学综合排名前10的院校8年制博士毕业</w:t>
            </w:r>
          </w:p>
        </w:tc>
        <w:tc>
          <w:tcPr>
            <w:tcW w:w="1843" w:type="dxa"/>
            <w:vAlign w:val="center"/>
          </w:tcPr>
          <w:p>
            <w:pPr>
              <w:spacing w:line="280" w:lineRule="exact"/>
              <w:rPr>
                <w:rFonts w:ascii="方正仿宋_GBK" w:hAnsi="方正仿宋_GBK" w:eastAsia="方正仿宋_GBK" w:cs="方正仿宋_GBK"/>
              </w:rPr>
            </w:pPr>
            <w:r>
              <w:rPr>
                <w:rFonts w:hint="eastAsia" w:ascii="方正仿宋_GBK" w:hAnsi="方正仿宋_GBK" w:eastAsia="方正仿宋_GBK" w:cs="方正仿宋_GBK"/>
              </w:rPr>
              <w:t>年龄一般不超过40周岁。</w:t>
            </w:r>
          </w:p>
        </w:tc>
        <w:tc>
          <w:tcPr>
            <w:tcW w:w="1562" w:type="dxa"/>
            <w:vAlign w:val="center"/>
          </w:tcPr>
          <w:p>
            <w:pPr>
              <w:spacing w:line="280" w:lineRule="exact"/>
              <w:rPr>
                <w:rFonts w:ascii="方正仿宋_GBK" w:hAnsi="方正仿宋_GBK" w:eastAsia="方正仿宋_GBK" w:cs="方正仿宋_GBK"/>
              </w:rPr>
            </w:pPr>
            <w:r>
              <w:rPr>
                <w:rFonts w:hint="eastAsia" w:ascii="方正仿宋_GBK" w:hAnsi="方正仿宋_GBK" w:eastAsia="方正仿宋_GBK" w:cs="方正仿宋_GBK"/>
              </w:rPr>
              <w:t>一次性住房补贴及安家费50万，科研启动金10万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3" w:hRule="atLeast"/>
        </w:trPr>
        <w:tc>
          <w:tcPr>
            <w:tcW w:w="563" w:type="dxa"/>
            <w:vAlign w:val="center"/>
          </w:tcPr>
          <w:p>
            <w:pPr>
              <w:spacing w:line="280" w:lineRule="exact"/>
              <w:jc w:val="center"/>
              <w:rPr>
                <w:rFonts w:ascii="方正仿宋_GBK" w:hAnsi="方正仿宋_GBK" w:eastAsia="方正仿宋_GBK" w:cs="方正仿宋_GBK"/>
              </w:rPr>
            </w:pPr>
            <w:r>
              <w:rPr>
                <w:rFonts w:hint="eastAsia" w:ascii="方正仿宋_GBK" w:hAnsi="方正仿宋_GBK" w:eastAsia="方正仿宋_GBK" w:cs="方正仿宋_GBK"/>
              </w:rPr>
              <w:t>5</w:t>
            </w:r>
          </w:p>
        </w:tc>
        <w:tc>
          <w:tcPr>
            <w:tcW w:w="827" w:type="dxa"/>
            <w:vAlign w:val="center"/>
          </w:tcPr>
          <w:p>
            <w:pPr>
              <w:spacing w:line="280" w:lineRule="exact"/>
              <w:jc w:val="center"/>
              <w:rPr>
                <w:rFonts w:ascii="方正仿宋_GBK" w:hAnsi="方正仿宋_GBK" w:eastAsia="方正仿宋_GBK" w:cs="方正仿宋_GBK"/>
              </w:rPr>
            </w:pPr>
            <w:r>
              <w:rPr>
                <w:rFonts w:hint="eastAsia" w:ascii="方正仿宋_GBK" w:hAnsi="方正仿宋_GBK" w:eastAsia="方正仿宋_GBK" w:cs="方正仿宋_GBK"/>
              </w:rPr>
              <w:t>博士</w:t>
            </w:r>
          </w:p>
        </w:tc>
        <w:tc>
          <w:tcPr>
            <w:tcW w:w="453" w:type="dxa"/>
            <w:vMerge w:val="continue"/>
            <w:textDirection w:val="tbRlV"/>
            <w:vAlign w:val="center"/>
          </w:tcPr>
          <w:p>
            <w:pPr>
              <w:spacing w:line="280" w:lineRule="exact"/>
              <w:rPr>
                <w:b/>
                <w:bCs/>
              </w:rPr>
            </w:pPr>
          </w:p>
        </w:tc>
        <w:tc>
          <w:tcPr>
            <w:tcW w:w="3541" w:type="dxa"/>
            <w:vAlign w:val="center"/>
          </w:tcPr>
          <w:p>
            <w:pPr>
              <w:spacing w:line="280" w:lineRule="exact"/>
              <w:rPr>
                <w:rFonts w:ascii="方正仿宋_GBK" w:hAnsi="方正仿宋_GBK" w:eastAsia="方正仿宋_GBK" w:cs="方正仿宋_GBK"/>
              </w:rPr>
            </w:pPr>
          </w:p>
        </w:tc>
        <w:tc>
          <w:tcPr>
            <w:tcW w:w="1843" w:type="dxa"/>
            <w:vAlign w:val="center"/>
          </w:tcPr>
          <w:p>
            <w:pPr>
              <w:spacing w:line="280" w:lineRule="exact"/>
              <w:rPr>
                <w:rFonts w:ascii="方正仿宋_GBK" w:hAnsi="方正仿宋_GBK" w:eastAsia="方正仿宋_GBK" w:cs="方正仿宋_GBK"/>
              </w:rPr>
            </w:pPr>
            <w:r>
              <w:rPr>
                <w:rFonts w:hint="eastAsia" w:ascii="方正仿宋_GBK" w:hAnsi="方正仿宋_GBK" w:eastAsia="方正仿宋_GBK" w:cs="方正仿宋_GBK"/>
              </w:rPr>
              <w:t>年龄一般不超过35周岁。</w:t>
            </w:r>
          </w:p>
        </w:tc>
        <w:tc>
          <w:tcPr>
            <w:tcW w:w="1562" w:type="dxa"/>
            <w:vAlign w:val="center"/>
          </w:tcPr>
          <w:p>
            <w:pPr>
              <w:spacing w:line="280" w:lineRule="exact"/>
              <w:rPr>
                <w:rFonts w:ascii="方正仿宋_GBK" w:hAnsi="方正仿宋_GBK" w:eastAsia="方正仿宋_GBK" w:cs="方正仿宋_GBK"/>
              </w:rPr>
            </w:pPr>
            <w:r>
              <w:rPr>
                <w:rFonts w:hint="eastAsia" w:ascii="方正仿宋_GBK" w:hAnsi="方正仿宋_GBK" w:eastAsia="方正仿宋_GBK" w:cs="方正仿宋_GBK"/>
              </w:rPr>
              <w:t>一次性住房补贴及安家费40万，科研启动金10万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6" w:hRule="atLeast"/>
        </w:trPr>
        <w:tc>
          <w:tcPr>
            <w:tcW w:w="563" w:type="dxa"/>
            <w:vMerge w:val="restart"/>
            <w:vAlign w:val="center"/>
          </w:tcPr>
          <w:p>
            <w:pPr>
              <w:spacing w:line="280" w:lineRule="exact"/>
              <w:jc w:val="center"/>
              <w:rPr>
                <w:rFonts w:hint="eastAsia" w:ascii="方正仿宋_GBK" w:hAnsi="方正仿宋_GBK" w:eastAsia="方正仿宋_GBK" w:cs="方正仿宋_GBK"/>
                <w:snapToGrid w:val="0"/>
                <w:color w:val="000000"/>
                <w:sz w:val="21"/>
                <w:szCs w:val="21"/>
                <w:lang w:val="en-US" w:eastAsia="zh-CN" w:bidi="ar-SA"/>
              </w:rPr>
            </w:pPr>
            <w:r>
              <w:rPr>
                <w:rFonts w:hint="eastAsia" w:ascii="方正仿宋_GBK" w:hAnsi="方正仿宋_GBK" w:eastAsia="方正仿宋_GBK" w:cs="方正仿宋_GBK"/>
              </w:rPr>
              <w:t>6</w:t>
            </w:r>
          </w:p>
        </w:tc>
        <w:tc>
          <w:tcPr>
            <w:tcW w:w="827" w:type="dxa"/>
            <w:vMerge w:val="restart"/>
            <w:vAlign w:val="center"/>
          </w:tcPr>
          <w:p>
            <w:pPr>
              <w:spacing w:line="280" w:lineRule="exact"/>
              <w:jc w:val="center"/>
              <w:rPr>
                <w:rFonts w:hint="eastAsia" w:ascii="方正仿宋_GBK" w:hAnsi="方正仿宋_GBK" w:eastAsia="方正仿宋_GBK" w:cs="方正仿宋_GBK"/>
                <w:snapToGrid w:val="0"/>
                <w:color w:val="000000"/>
                <w:sz w:val="21"/>
                <w:szCs w:val="21"/>
                <w:lang w:val="en-US" w:eastAsia="zh-CN" w:bidi="ar-SA"/>
              </w:rPr>
            </w:pPr>
            <w:r>
              <w:rPr>
                <w:rFonts w:hint="eastAsia" w:ascii="方正仿宋_GBK" w:hAnsi="方正仿宋_GBK" w:eastAsia="方正仿宋_GBK" w:cs="方正仿宋_GBK"/>
              </w:rPr>
              <w:t>在职博士毕业（仅有博士学位）</w:t>
            </w:r>
          </w:p>
        </w:tc>
        <w:tc>
          <w:tcPr>
            <w:tcW w:w="453" w:type="dxa"/>
            <w:vMerge w:val="restart"/>
            <w:vAlign w:val="center"/>
          </w:tcPr>
          <w:p>
            <w:pPr>
              <w:spacing w:line="280" w:lineRule="exact"/>
              <w:rPr>
                <w:rFonts w:hint="eastAsia" w:ascii="方正仿宋_GBK" w:hAnsi="方正仿宋_GBK" w:eastAsia="方正仿宋_GBK" w:cs="方正仿宋_GBK"/>
                <w:snapToGrid w:val="0"/>
                <w:color w:val="000000"/>
                <w:sz w:val="21"/>
                <w:szCs w:val="21"/>
                <w:lang w:val="en-US" w:eastAsia="zh-CN" w:bidi="ar-SA"/>
              </w:rPr>
            </w:pPr>
            <w:r>
              <w:rPr>
                <w:rFonts w:hint="eastAsia" w:ascii="方正仿宋_GBK" w:hAnsi="方正仿宋_GBK" w:eastAsia="方正仿宋_GBK" w:cs="方正仿宋_GBK"/>
              </w:rPr>
              <w:t>医学</w:t>
            </w:r>
          </w:p>
        </w:tc>
        <w:tc>
          <w:tcPr>
            <w:tcW w:w="3541" w:type="dxa"/>
            <w:vAlign w:val="center"/>
          </w:tcPr>
          <w:p>
            <w:pPr>
              <w:spacing w:line="280" w:lineRule="exact"/>
              <w:jc w:val="both"/>
              <w:rPr>
                <w:rFonts w:hint="eastAsia" w:ascii="方正仿宋_GBK" w:hAnsi="方正仿宋_GBK" w:eastAsia="方正仿宋_GBK" w:cs="方正仿宋_GBK"/>
              </w:rPr>
            </w:pPr>
            <w:r>
              <w:rPr>
                <w:rFonts w:hint="eastAsia" w:ascii="方正仿宋_GBK" w:hAnsi="方正仿宋_GBK" w:eastAsia="方正仿宋_GBK" w:cs="方正仿宋_GBK"/>
              </w:rPr>
              <w:t>以第一作者发表SCI论文2篇以上或累计影响因子3分以上。其中培养期间完全脱产学习时间累积大于24个月以上，获得学位后3年内以我院名义主持获得国家自然科学基金资助者</w:t>
            </w:r>
          </w:p>
        </w:tc>
        <w:tc>
          <w:tcPr>
            <w:tcW w:w="1843" w:type="dxa"/>
            <w:vAlign w:val="center"/>
          </w:tcPr>
          <w:p>
            <w:pPr>
              <w:spacing w:line="280" w:lineRule="exact"/>
              <w:jc w:val="both"/>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年龄一般不超过40岁。</w:t>
            </w:r>
          </w:p>
        </w:tc>
        <w:tc>
          <w:tcPr>
            <w:tcW w:w="1562" w:type="dxa"/>
            <w:vAlign w:val="center"/>
          </w:tcPr>
          <w:p>
            <w:pPr>
              <w:spacing w:line="280" w:lineRule="exact"/>
              <w:jc w:val="both"/>
              <w:rPr>
                <w:rFonts w:hint="eastAsia" w:ascii="方正仿宋_GBK" w:hAnsi="方正仿宋_GBK" w:eastAsia="方正仿宋_GBK" w:cs="方正仿宋_GBK"/>
              </w:rPr>
            </w:pPr>
            <w:r>
              <w:rPr>
                <w:rFonts w:hint="eastAsia" w:ascii="方正仿宋_GBK" w:hAnsi="方正仿宋_GBK" w:eastAsia="方正仿宋_GBK" w:cs="方正仿宋_GBK"/>
              </w:rPr>
              <w:t>奖励30万元；报销学费，科研启动金10万；脱产时间不足或未获得国家自然科学基金项目资助前，住房补贴及安家费待遇减半执行，获得项目后补齐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69" w:hRule="atLeast"/>
        </w:trPr>
        <w:tc>
          <w:tcPr>
            <w:tcW w:w="563" w:type="dxa"/>
            <w:vMerge w:val="continue"/>
            <w:vAlign w:val="center"/>
          </w:tcPr>
          <w:p>
            <w:pPr>
              <w:spacing w:line="280" w:lineRule="exact"/>
              <w:jc w:val="center"/>
              <w:rPr>
                <w:rFonts w:ascii="方正仿宋_GBK" w:hAnsi="方正仿宋_GBK" w:eastAsia="方正仿宋_GBK" w:cs="方正仿宋_GBK"/>
              </w:rPr>
            </w:pPr>
          </w:p>
        </w:tc>
        <w:tc>
          <w:tcPr>
            <w:tcW w:w="827" w:type="dxa"/>
            <w:vMerge w:val="continue"/>
            <w:vAlign w:val="center"/>
          </w:tcPr>
          <w:p>
            <w:pPr>
              <w:spacing w:line="280" w:lineRule="exact"/>
              <w:jc w:val="center"/>
              <w:rPr>
                <w:rFonts w:ascii="方正仿宋_GBK" w:hAnsi="方正仿宋_GBK" w:eastAsia="方正仿宋_GBK" w:cs="方正仿宋_GBK"/>
              </w:rPr>
            </w:pPr>
          </w:p>
        </w:tc>
        <w:tc>
          <w:tcPr>
            <w:tcW w:w="453" w:type="dxa"/>
            <w:vMerge w:val="continue"/>
            <w:vAlign w:val="center"/>
          </w:tcPr>
          <w:p>
            <w:pPr>
              <w:spacing w:line="280" w:lineRule="exact"/>
              <w:jc w:val="center"/>
              <w:rPr>
                <w:rFonts w:ascii="方正仿宋_GBK" w:hAnsi="方正仿宋_GBK" w:eastAsia="方正仿宋_GBK" w:cs="方正仿宋_GBK"/>
              </w:rPr>
            </w:pPr>
          </w:p>
        </w:tc>
        <w:tc>
          <w:tcPr>
            <w:tcW w:w="3541" w:type="dxa"/>
            <w:vAlign w:val="center"/>
          </w:tcPr>
          <w:p>
            <w:pPr>
              <w:spacing w:line="280" w:lineRule="exact"/>
              <w:rPr>
                <w:rFonts w:hint="eastAsia" w:ascii="方正仿宋_GBK" w:hAnsi="方正仿宋_GBK" w:eastAsia="方正仿宋_GBK" w:cs="方正仿宋_GBK"/>
              </w:rPr>
            </w:pPr>
            <w:r>
              <w:rPr>
                <w:rFonts w:hint="eastAsia" w:ascii="方正仿宋_GBK" w:hAnsi="方正仿宋_GBK" w:eastAsia="方正仿宋_GBK" w:cs="方正仿宋_GBK"/>
              </w:rPr>
              <w:t>以第一作者发表SCI论文1篇以上。其中培养期间完全脱产学习时间累积大于12个月以上，获得学位后3年内以我院名义主持获得省、厅级项目资助者</w:t>
            </w:r>
          </w:p>
        </w:tc>
        <w:tc>
          <w:tcPr>
            <w:tcW w:w="1843" w:type="dxa"/>
            <w:vAlign w:val="center"/>
          </w:tcPr>
          <w:p>
            <w:pPr>
              <w:spacing w:line="280" w:lineRule="exact"/>
              <w:rPr>
                <w:rFonts w:hint="eastAsia" w:ascii="方正仿宋_GBK" w:hAnsi="方正仿宋_GBK" w:eastAsia="方正仿宋_GBK" w:cs="方正仿宋_GBK"/>
              </w:rPr>
            </w:pPr>
            <w:r>
              <w:rPr>
                <w:rFonts w:hint="eastAsia" w:ascii="方正仿宋_GBK" w:hAnsi="方正仿宋_GBK" w:eastAsia="方正仿宋_GBK" w:cs="方正仿宋_GBK"/>
                <w:lang w:val="en-US" w:eastAsia="zh-CN"/>
              </w:rPr>
              <w:t>年龄一般不超过40岁。</w:t>
            </w:r>
          </w:p>
        </w:tc>
        <w:tc>
          <w:tcPr>
            <w:tcW w:w="1562" w:type="dxa"/>
            <w:vAlign w:val="center"/>
          </w:tcPr>
          <w:p>
            <w:pPr>
              <w:spacing w:line="280" w:lineRule="exact"/>
              <w:rPr>
                <w:rFonts w:hint="eastAsia" w:ascii="方正仿宋_GBK" w:hAnsi="方正仿宋_GBK" w:eastAsia="方正仿宋_GBK" w:cs="方正仿宋_GBK"/>
              </w:rPr>
            </w:pPr>
            <w:r>
              <w:rPr>
                <w:rFonts w:hint="eastAsia" w:ascii="方正仿宋_GBK" w:hAnsi="方正仿宋_GBK" w:eastAsia="方正仿宋_GBK" w:cs="方正仿宋_GBK"/>
              </w:rPr>
              <w:t>奖励20万元；报销学费，科研启动金5万；脱产时间不足者或未获得厅级以上项目资助前奖励待遇减半执行，获批项目后补齐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4" w:hRule="atLeast"/>
        </w:trPr>
        <w:tc>
          <w:tcPr>
            <w:tcW w:w="563" w:type="dxa"/>
            <w:vMerge w:val="continue"/>
            <w:vAlign w:val="center"/>
          </w:tcPr>
          <w:p>
            <w:pPr>
              <w:spacing w:line="280" w:lineRule="exact"/>
            </w:pPr>
          </w:p>
        </w:tc>
        <w:tc>
          <w:tcPr>
            <w:tcW w:w="827" w:type="dxa"/>
            <w:vMerge w:val="continue"/>
            <w:vAlign w:val="center"/>
          </w:tcPr>
          <w:p>
            <w:pPr>
              <w:spacing w:line="280" w:lineRule="exact"/>
            </w:pPr>
          </w:p>
        </w:tc>
        <w:tc>
          <w:tcPr>
            <w:tcW w:w="453" w:type="dxa"/>
            <w:vMerge w:val="continue"/>
            <w:vAlign w:val="center"/>
          </w:tcPr>
          <w:p>
            <w:pPr>
              <w:spacing w:line="280" w:lineRule="exact"/>
            </w:pPr>
          </w:p>
        </w:tc>
        <w:tc>
          <w:tcPr>
            <w:tcW w:w="3541" w:type="dxa"/>
            <w:vAlign w:val="center"/>
          </w:tcPr>
          <w:p>
            <w:pPr>
              <w:spacing w:line="280" w:lineRule="exact"/>
              <w:rPr>
                <w:rFonts w:ascii="方正仿宋_GBK" w:hAnsi="方正仿宋_GBK" w:eastAsia="方正仿宋_GBK" w:cs="方正仿宋_GBK"/>
              </w:rPr>
            </w:pPr>
            <w:r>
              <w:rPr>
                <w:rFonts w:hint="eastAsia" w:ascii="方正仿宋_GBK" w:hAnsi="方正仿宋_GBK" w:eastAsia="方正仿宋_GBK" w:cs="方正仿宋_GBK"/>
              </w:rPr>
              <w:t>以第一作者发表SCI论文1篇以上。</w:t>
            </w:r>
          </w:p>
        </w:tc>
        <w:tc>
          <w:tcPr>
            <w:tcW w:w="1843" w:type="dxa"/>
            <w:vAlign w:val="center"/>
          </w:tcPr>
          <w:p>
            <w:pPr>
              <w:spacing w:line="280" w:lineRule="exact"/>
              <w:rPr>
                <w:rFonts w:ascii="方正仿宋_GBK" w:hAnsi="方正仿宋_GBK" w:eastAsia="方正仿宋_GBK" w:cs="方正仿宋_GBK"/>
              </w:rPr>
            </w:pPr>
            <w:r>
              <w:rPr>
                <w:rFonts w:hint="eastAsia" w:ascii="方正仿宋_GBK" w:hAnsi="方正仿宋_GBK" w:eastAsia="方正仿宋_GBK" w:cs="方正仿宋_GBK"/>
              </w:rPr>
              <w:t>年龄一般不超过45周岁。</w:t>
            </w:r>
          </w:p>
        </w:tc>
        <w:tc>
          <w:tcPr>
            <w:tcW w:w="1562" w:type="dxa"/>
            <w:vAlign w:val="center"/>
          </w:tcPr>
          <w:p>
            <w:pPr>
              <w:spacing w:line="280" w:lineRule="exact"/>
              <w:rPr>
                <w:rFonts w:ascii="方正仿宋_GBK" w:hAnsi="方正仿宋_GBK" w:eastAsia="方正仿宋_GBK" w:cs="方正仿宋_GBK"/>
              </w:rPr>
            </w:pPr>
            <w:r>
              <w:rPr>
                <w:rFonts w:hint="eastAsia" w:ascii="方正仿宋_GBK" w:hAnsi="方正仿宋_GBK" w:eastAsia="方正仿宋_GBK" w:cs="方正仿宋_GBK"/>
              </w:rPr>
              <w:t>奖励15万元；报销学费，未发表SCI论文之前减半执行，发表后补齐（特殊情况下院党委会讨论另定）</w:t>
            </w:r>
          </w:p>
        </w:tc>
      </w:tr>
    </w:tbl>
    <w:p>
      <w:pPr>
        <w:keepNext w:val="0"/>
        <w:keepLines w:val="0"/>
        <w:pageBreakBefore w:val="0"/>
        <w:widowControl w:val="0"/>
        <w:kinsoku w:val="0"/>
        <w:wordWrap/>
        <w:overflowPunct/>
        <w:topLinePunct w:val="0"/>
        <w:autoSpaceDE w:val="0"/>
        <w:autoSpaceDN w:val="0"/>
        <w:bidi w:val="0"/>
        <w:adjustRightInd w:val="0"/>
        <w:snapToGrid w:val="0"/>
        <w:spacing w:line="440" w:lineRule="exact"/>
        <w:jc w:val="both"/>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备</w:t>
      </w:r>
      <w:r>
        <w:rPr>
          <w:rFonts w:hint="eastAsia" w:ascii="方正仿宋_GBK" w:hAnsi="方正仿宋_GBK" w:eastAsia="方正仿宋_GBK" w:cs="方正仿宋_GBK"/>
          <w:sz w:val="28"/>
          <w:szCs w:val="28"/>
        </w:rPr>
        <w:t>注：</w:t>
      </w:r>
    </w:p>
    <w:p>
      <w:pPr>
        <w:keepNext w:val="0"/>
        <w:keepLines w:val="0"/>
        <w:pageBreakBefore w:val="0"/>
        <w:widowControl w:val="0"/>
        <w:kinsoku w:val="0"/>
        <w:wordWrap/>
        <w:overflowPunct/>
        <w:topLinePunct w:val="0"/>
        <w:autoSpaceDE w:val="0"/>
        <w:autoSpaceDN w:val="0"/>
        <w:bidi w:val="0"/>
        <w:adjustRightInd w:val="0"/>
        <w:snapToGrid w:val="0"/>
        <w:spacing w:line="440" w:lineRule="exact"/>
        <w:ind w:firstLine="560" w:firstLineChars="200"/>
        <w:jc w:val="both"/>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学科带头人是指：有较高的学术、技术地位，掌握代表本专业先进水平的技术，具有一定教学科研水平，具有正高技术职称，是省级及以上医学会相应专业委员会委员；学术带头人是指在专业学术领域内具有较高的学术水平，取得国内或国外同行一致认可的学术成绩，能引领相应专科在学术上有显著发展的高层次人才。</w:t>
      </w:r>
    </w:p>
    <w:p>
      <w:pPr>
        <w:keepNext w:val="0"/>
        <w:keepLines w:val="0"/>
        <w:pageBreakBefore w:val="0"/>
        <w:widowControl w:val="0"/>
        <w:kinsoku w:val="0"/>
        <w:wordWrap/>
        <w:overflowPunct/>
        <w:topLinePunct w:val="0"/>
        <w:autoSpaceDE w:val="0"/>
        <w:autoSpaceDN w:val="0"/>
        <w:bidi w:val="0"/>
        <w:adjustRightInd w:val="0"/>
        <w:snapToGrid w:val="0"/>
        <w:spacing w:line="440" w:lineRule="exact"/>
        <w:ind w:firstLine="560" w:firstLineChars="200"/>
        <w:jc w:val="both"/>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2、除在职读博，其他博士均可安排</w:t>
      </w:r>
      <w:r>
        <w:rPr>
          <w:rFonts w:hint="eastAsia" w:ascii="方正仿宋_GBK" w:hAnsi="方正仿宋_GBK" w:eastAsia="方正仿宋_GBK" w:cs="方正仿宋_GBK"/>
          <w:sz w:val="28"/>
          <w:szCs w:val="28"/>
          <w:lang w:val="en-US" w:eastAsia="zh-CN"/>
        </w:rPr>
        <w:t>过度</w:t>
      </w:r>
      <w:r>
        <w:rPr>
          <w:rFonts w:hint="eastAsia" w:ascii="方正仿宋_GBK" w:hAnsi="方正仿宋_GBK" w:eastAsia="方正仿宋_GBK" w:cs="方正仿宋_GBK"/>
          <w:sz w:val="28"/>
          <w:szCs w:val="28"/>
        </w:rPr>
        <w:t>房或租金补贴；</w:t>
      </w:r>
    </w:p>
    <w:p>
      <w:pPr>
        <w:keepNext w:val="0"/>
        <w:keepLines w:val="0"/>
        <w:pageBreakBefore w:val="0"/>
        <w:widowControl w:val="0"/>
        <w:kinsoku w:val="0"/>
        <w:wordWrap/>
        <w:overflowPunct/>
        <w:topLinePunct w:val="0"/>
        <w:autoSpaceDE w:val="0"/>
        <w:autoSpaceDN w:val="0"/>
        <w:bidi w:val="0"/>
        <w:adjustRightInd w:val="0"/>
        <w:snapToGrid w:val="0"/>
        <w:spacing w:line="440" w:lineRule="exact"/>
        <w:ind w:firstLine="560" w:firstLineChars="200"/>
        <w:jc w:val="both"/>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3、江苏省六大人才高峰（C和D类）和江苏省333工程（第三层次）人才若符合上述第4-5类人才标准，享受对应的待遇；</w:t>
      </w:r>
    </w:p>
    <w:p>
      <w:pPr>
        <w:keepNext w:val="0"/>
        <w:keepLines w:val="0"/>
        <w:pageBreakBefore w:val="0"/>
        <w:widowControl w:val="0"/>
        <w:kinsoku w:val="0"/>
        <w:wordWrap/>
        <w:overflowPunct/>
        <w:topLinePunct w:val="0"/>
        <w:autoSpaceDE w:val="0"/>
        <w:autoSpaceDN w:val="0"/>
        <w:bidi w:val="0"/>
        <w:adjustRightInd w:val="0"/>
        <w:snapToGrid w:val="0"/>
        <w:spacing w:line="440" w:lineRule="exact"/>
        <w:ind w:firstLine="560" w:firstLineChars="200"/>
        <w:jc w:val="both"/>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4、上述人才近5年在</w:t>
      </w:r>
      <w:bookmarkStart w:id="0" w:name="_GoBack"/>
      <w:bookmarkEnd w:id="0"/>
      <w:r>
        <w:rPr>
          <w:rFonts w:hint="eastAsia" w:ascii="方正仿宋_GBK" w:hAnsi="方正仿宋_GBK" w:eastAsia="方正仿宋_GBK" w:cs="方正仿宋_GBK"/>
          <w:sz w:val="28"/>
          <w:szCs w:val="28"/>
        </w:rPr>
        <w:t>PlosOne、Oncotarget、ScientificReports及tumorbiology等掠夺性期刊上发表的论文则不计影响因子；</w:t>
      </w:r>
    </w:p>
    <w:p>
      <w:pPr>
        <w:keepNext w:val="0"/>
        <w:keepLines w:val="0"/>
        <w:pageBreakBefore w:val="0"/>
        <w:widowControl w:val="0"/>
        <w:kinsoku w:val="0"/>
        <w:wordWrap/>
        <w:overflowPunct/>
        <w:topLinePunct w:val="0"/>
        <w:autoSpaceDE w:val="0"/>
        <w:autoSpaceDN w:val="0"/>
        <w:bidi w:val="0"/>
        <w:adjustRightInd w:val="0"/>
        <w:snapToGrid w:val="0"/>
        <w:spacing w:line="440" w:lineRule="exact"/>
        <w:ind w:firstLine="560" w:firstLineChars="200"/>
        <w:jc w:val="both"/>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5、上述除第6类在职博士毕业以外，所有博士均要求获得博士毕业证书和学位证书；</w:t>
      </w:r>
    </w:p>
    <w:p>
      <w:pPr>
        <w:keepNext w:val="0"/>
        <w:keepLines w:val="0"/>
        <w:pageBreakBefore w:val="0"/>
        <w:widowControl w:val="0"/>
        <w:kinsoku w:val="0"/>
        <w:wordWrap/>
        <w:overflowPunct/>
        <w:topLinePunct w:val="0"/>
        <w:autoSpaceDE w:val="0"/>
        <w:autoSpaceDN w:val="0"/>
        <w:bidi w:val="0"/>
        <w:adjustRightInd w:val="0"/>
        <w:snapToGrid w:val="0"/>
        <w:spacing w:line="440" w:lineRule="exact"/>
        <w:ind w:firstLine="560" w:firstLineChars="200"/>
        <w:jc w:val="both"/>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6、中医类专业（中西医结合除外）对发表SCI论文不做硬性要求，但要求中医类权威核心期刊；</w:t>
      </w:r>
    </w:p>
    <w:p>
      <w:pPr>
        <w:keepNext w:val="0"/>
        <w:keepLines w:val="0"/>
        <w:pageBreakBefore w:val="0"/>
        <w:widowControl w:val="0"/>
        <w:kinsoku w:val="0"/>
        <w:wordWrap/>
        <w:overflowPunct/>
        <w:topLinePunct w:val="0"/>
        <w:autoSpaceDE w:val="0"/>
        <w:autoSpaceDN w:val="0"/>
        <w:bidi w:val="0"/>
        <w:adjustRightInd w:val="0"/>
        <w:snapToGrid w:val="0"/>
        <w:spacing w:line="440" w:lineRule="exact"/>
        <w:ind w:firstLine="560" w:firstLineChars="200"/>
        <w:jc w:val="both"/>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7、我院定向培养的</w:t>
      </w:r>
      <w:r>
        <w:rPr>
          <w:rFonts w:hint="eastAsia" w:ascii="方正仿宋_GBK" w:hAnsi="方正仿宋_GBK" w:eastAsia="方正仿宋_GBK" w:cs="方正仿宋_GBK"/>
          <w:sz w:val="28"/>
          <w:szCs w:val="28"/>
          <w:lang w:eastAsia="zh-CN"/>
        </w:rPr>
        <w:t>全日制</w:t>
      </w:r>
      <w:r>
        <w:rPr>
          <w:rFonts w:hint="eastAsia" w:ascii="方正仿宋_GBK" w:hAnsi="方正仿宋_GBK" w:eastAsia="方正仿宋_GBK" w:cs="方正仿宋_GBK"/>
          <w:sz w:val="28"/>
          <w:szCs w:val="28"/>
        </w:rPr>
        <w:t>博士毕业回院工作后可参照上述第4-5类人才待遇执行；</w:t>
      </w:r>
      <w:r>
        <w:rPr>
          <w:rFonts w:ascii="方正仿宋_GBK" w:hAnsi="方正仿宋_GBK" w:eastAsia="方正仿宋_GBK" w:cs="方正仿宋_GBK"/>
          <w:sz w:val="28"/>
          <w:szCs w:val="28"/>
        </w:rPr>
        <w:t xml:space="preserve"> </w:t>
      </w:r>
    </w:p>
    <w:p>
      <w:pPr>
        <w:keepNext w:val="0"/>
        <w:keepLines w:val="0"/>
        <w:pageBreakBefore w:val="0"/>
        <w:widowControl w:val="0"/>
        <w:kinsoku w:val="0"/>
        <w:wordWrap/>
        <w:overflowPunct/>
        <w:topLinePunct w:val="0"/>
        <w:autoSpaceDE w:val="0"/>
        <w:autoSpaceDN w:val="0"/>
        <w:bidi w:val="0"/>
        <w:adjustRightInd w:val="0"/>
        <w:snapToGrid w:val="0"/>
        <w:spacing w:line="440" w:lineRule="exact"/>
        <w:ind w:firstLine="560" w:firstLineChars="200"/>
        <w:jc w:val="both"/>
        <w:textAlignment w:val="baseline"/>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8、</w:t>
      </w:r>
      <w:r>
        <w:rPr>
          <w:rFonts w:hint="eastAsia" w:ascii="方正仿宋_GBK" w:hAnsi="方正仿宋_GBK" w:eastAsia="方正仿宋_GBK" w:cs="方正仿宋_GBK"/>
          <w:sz w:val="28"/>
          <w:szCs w:val="28"/>
          <w:highlight w:val="none"/>
          <w:lang w:val="en-US" w:eastAsia="zh-CN"/>
        </w:rPr>
        <w:t>可</w:t>
      </w:r>
      <w:r>
        <w:rPr>
          <w:rFonts w:hint="eastAsia" w:ascii="方正仿宋_GBK" w:hAnsi="方正仿宋_GBK" w:eastAsia="方正仿宋_GBK" w:cs="方正仿宋_GBK"/>
          <w:sz w:val="28"/>
          <w:szCs w:val="28"/>
          <w:highlight w:val="none"/>
        </w:rPr>
        <w:t>实行年薪制，待遇面议，无年薪的每月发博士津贴；</w:t>
      </w:r>
    </w:p>
    <w:p>
      <w:pPr>
        <w:keepNext w:val="0"/>
        <w:keepLines w:val="0"/>
        <w:pageBreakBefore w:val="0"/>
        <w:widowControl w:val="0"/>
        <w:kinsoku w:val="0"/>
        <w:wordWrap/>
        <w:overflowPunct/>
        <w:topLinePunct w:val="0"/>
        <w:autoSpaceDE w:val="0"/>
        <w:autoSpaceDN w:val="0"/>
        <w:bidi w:val="0"/>
        <w:adjustRightInd w:val="0"/>
        <w:snapToGrid w:val="0"/>
        <w:spacing w:line="440" w:lineRule="exact"/>
        <w:ind w:firstLine="560" w:firstLineChars="200"/>
        <w:jc w:val="both"/>
        <w:textAlignment w:val="baseline"/>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9、凡我院职工(人事处除外)积极推荐并成功引进上述1-5类人才，分别给予0.3-1.0万元奖励，由人事处提请院办公会讨论通过后执行</w:t>
      </w:r>
      <w:r>
        <w:rPr>
          <w:rFonts w:hint="eastAsia" w:ascii="方正仿宋_GBK" w:hAnsi="方正仿宋_GBK" w:eastAsia="方正仿宋_GBK" w:cs="方正仿宋_GBK"/>
          <w:sz w:val="28"/>
          <w:szCs w:val="28"/>
          <w:lang w:val="en-US" w:eastAsia="zh-CN"/>
        </w:rPr>
        <w:t>；</w:t>
      </w:r>
    </w:p>
    <w:p>
      <w:pPr>
        <w:keepNext w:val="0"/>
        <w:keepLines w:val="0"/>
        <w:pageBreakBefore w:val="0"/>
        <w:widowControl w:val="0"/>
        <w:kinsoku w:val="0"/>
        <w:wordWrap/>
        <w:overflowPunct/>
        <w:topLinePunct w:val="0"/>
        <w:autoSpaceDE w:val="0"/>
        <w:autoSpaceDN w:val="0"/>
        <w:bidi w:val="0"/>
        <w:adjustRightInd w:val="0"/>
        <w:snapToGrid w:val="0"/>
        <w:spacing w:line="440" w:lineRule="exact"/>
        <w:ind w:firstLine="560" w:firstLineChars="200"/>
        <w:jc w:val="both"/>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r>
        <w:rPr>
          <w:rFonts w:ascii="方正仿宋_GBK" w:hAnsi="方正仿宋_GBK" w:eastAsia="方正仿宋_GBK" w:cs="方正仿宋_GBK"/>
          <w:sz w:val="28"/>
          <w:szCs w:val="28"/>
        </w:rPr>
        <w:t>0</w:t>
      </w:r>
      <w:r>
        <w:rPr>
          <w:rFonts w:hint="eastAsia" w:ascii="方正仿宋_GBK" w:hAnsi="方正仿宋_GBK" w:eastAsia="方正仿宋_GBK" w:cs="方正仿宋_GBK"/>
          <w:sz w:val="28"/>
          <w:szCs w:val="28"/>
        </w:rPr>
        <w:t>、上述未尽事宜或特殊情况可由院党委会讨论商定。</w:t>
      </w:r>
    </w:p>
    <w:p>
      <w:pPr>
        <w:keepNext w:val="0"/>
        <w:keepLines w:val="0"/>
        <w:pageBreakBefore w:val="0"/>
        <w:widowControl w:val="0"/>
        <w:kinsoku w:val="0"/>
        <w:wordWrap/>
        <w:overflowPunct/>
        <w:topLinePunct w:val="0"/>
        <w:autoSpaceDE w:val="0"/>
        <w:autoSpaceDN w:val="0"/>
        <w:bidi w:val="0"/>
        <w:adjustRightInd w:val="0"/>
        <w:snapToGrid w:val="0"/>
        <w:spacing w:line="440" w:lineRule="exact"/>
        <w:ind w:firstLine="560" w:firstLineChars="200"/>
        <w:jc w:val="both"/>
        <w:textAlignment w:val="baseline"/>
        <w:rPr>
          <w:rFonts w:hint="eastAsia" w:ascii="方正仿宋_GBK" w:hAnsi="方正仿宋_GBK" w:eastAsia="方正仿宋_GBK" w:cs="方正仿宋_GBK"/>
          <w:sz w:val="28"/>
          <w:szCs w:val="28"/>
        </w:rPr>
      </w:pPr>
    </w:p>
    <w:p>
      <w:pPr>
        <w:keepNext w:val="0"/>
        <w:keepLines w:val="0"/>
        <w:pageBreakBefore w:val="0"/>
        <w:widowControl w:val="0"/>
        <w:kinsoku w:val="0"/>
        <w:wordWrap/>
        <w:overflowPunct/>
        <w:topLinePunct w:val="0"/>
        <w:autoSpaceDE w:val="0"/>
        <w:autoSpaceDN w:val="0"/>
        <w:bidi w:val="0"/>
        <w:adjustRightInd w:val="0"/>
        <w:snapToGrid w:val="0"/>
        <w:spacing w:line="440" w:lineRule="exact"/>
        <w:ind w:firstLine="6720" w:firstLineChars="2400"/>
        <w:jc w:val="both"/>
        <w:textAlignment w:val="baseline"/>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扬州市中医院</w:t>
      </w:r>
    </w:p>
    <w:p>
      <w:pPr>
        <w:keepNext w:val="0"/>
        <w:keepLines w:val="0"/>
        <w:pageBreakBefore w:val="0"/>
        <w:widowControl w:val="0"/>
        <w:kinsoku w:val="0"/>
        <w:wordWrap/>
        <w:overflowPunct/>
        <w:topLinePunct w:val="0"/>
        <w:autoSpaceDE w:val="0"/>
        <w:autoSpaceDN w:val="0"/>
        <w:bidi w:val="0"/>
        <w:adjustRightInd w:val="0"/>
        <w:snapToGrid w:val="0"/>
        <w:spacing w:line="440" w:lineRule="exact"/>
        <w:ind w:firstLine="6720" w:firstLineChars="2400"/>
        <w:jc w:val="both"/>
        <w:textAlignment w:val="baseline"/>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2022年3月3日</w:t>
      </w:r>
    </w:p>
    <w:p>
      <w:pPr>
        <w:ind w:firstLine="560" w:firstLineChars="200"/>
        <w:rPr>
          <w:rFonts w:hint="eastAsia" w:ascii="方正仿宋_GBK" w:hAnsi="方正仿宋_GBK" w:eastAsia="方正仿宋_GBK" w:cs="方正仿宋_GBK"/>
          <w:sz w:val="28"/>
          <w:szCs w:val="28"/>
        </w:rPr>
      </w:pPr>
    </w:p>
    <w:sectPr>
      <w:footerReference r:id="rId3" w:type="default"/>
      <w:pgSz w:w="11906" w:h="16838"/>
      <w:pgMar w:top="1701" w:right="1474" w:bottom="158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D66A2F33-79AD-4E4D-B301-D00F4F2D5EE9}"/>
  </w:font>
  <w:font w:name="方正小标宋_GBK">
    <w:panose1 w:val="03000509000000000000"/>
    <w:charset w:val="86"/>
    <w:family w:val="script"/>
    <w:pitch w:val="default"/>
    <w:sig w:usb0="00000001" w:usb1="080E0000" w:usb2="00000000" w:usb3="00000000" w:csb0="00040000" w:csb1="00000000"/>
    <w:embedRegular r:id="rId2" w:fontKey="{9D90E9EE-CD1C-475C-9CC3-2BAF74B714FF}"/>
  </w:font>
  <w:font w:name="方正仿宋_GBK">
    <w:panose1 w:val="03000509000000000000"/>
    <w:charset w:val="86"/>
    <w:family w:val="script"/>
    <w:pitch w:val="default"/>
    <w:sig w:usb0="00000001" w:usb1="080E0000" w:usb2="00000000" w:usb3="00000000" w:csb0="00040000" w:csb1="00000000"/>
    <w:embedRegular r:id="rId3" w:fontKey="{71146665-F417-493E-AF7B-59613E050765}"/>
  </w:font>
  <w:font w:name="微软雅黑">
    <w:panose1 w:val="020B0503020204020204"/>
    <w:charset w:val="86"/>
    <w:family w:val="swiss"/>
    <w:pitch w:val="default"/>
    <w:sig w:usb0="80000287" w:usb1="280F3C52" w:usb2="00000016" w:usb3="00000000" w:csb0="0004001F" w:csb1="00000000"/>
    <w:embedRegular r:id="rId4" w:fontKey="{5FE6AEF3-F9A6-47E8-AB4B-9E67F8E9E11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8" w:lineRule="auto"/>
      <w:rPr>
        <w:rFonts w:ascii="宋体" w:hAnsi="宋体" w:eastAsia="宋体" w:cs="宋体"/>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2C2D97"/>
    <w:rsid w:val="000C107F"/>
    <w:rsid w:val="002563CB"/>
    <w:rsid w:val="00566E64"/>
    <w:rsid w:val="006606F0"/>
    <w:rsid w:val="00E93516"/>
    <w:rsid w:val="06863A44"/>
    <w:rsid w:val="091B476C"/>
    <w:rsid w:val="103A4850"/>
    <w:rsid w:val="2BCD0608"/>
    <w:rsid w:val="2CE333F5"/>
    <w:rsid w:val="2E304B9A"/>
    <w:rsid w:val="312B00AC"/>
    <w:rsid w:val="322C2D97"/>
    <w:rsid w:val="3C83561B"/>
    <w:rsid w:val="49DB56DA"/>
    <w:rsid w:val="4BE02934"/>
    <w:rsid w:val="60485869"/>
    <w:rsid w:val="6D260712"/>
    <w:rsid w:val="73827B98"/>
    <w:rsid w:val="748E58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pPr>
    <w:rPr>
      <w:sz w:val="18"/>
      <w:szCs w:val="18"/>
    </w:rPr>
  </w:style>
  <w:style w:type="paragraph" w:styleId="3">
    <w:name w:val="header"/>
    <w:basedOn w:val="1"/>
    <w:link w:val="7"/>
    <w:qFormat/>
    <w:uiPriority w:val="99"/>
    <w:pPr>
      <w:pBdr>
        <w:bottom w:val="single" w:color="auto" w:sz="6" w:space="1"/>
      </w:pBdr>
      <w:tabs>
        <w:tab w:val="center" w:pos="4153"/>
        <w:tab w:val="right" w:pos="8306"/>
      </w:tabs>
      <w:jc w:val="center"/>
    </w:pPr>
    <w:rPr>
      <w:sz w:val="18"/>
      <w:szCs w:val="18"/>
    </w:rPr>
  </w:style>
  <w:style w:type="table" w:customStyle="1" w:styleId="6">
    <w:name w:val="Table Normal"/>
    <w:semiHidden/>
    <w:unhideWhenUsed/>
    <w:qFormat/>
    <w:uiPriority w:val="0"/>
    <w:tblPr>
      <w:tblCellMar>
        <w:top w:w="0" w:type="dxa"/>
        <w:left w:w="0" w:type="dxa"/>
        <w:bottom w:w="0" w:type="dxa"/>
        <w:right w:w="0" w:type="dxa"/>
      </w:tblCellMar>
    </w:tblPr>
  </w:style>
  <w:style w:type="character" w:customStyle="1" w:styleId="7">
    <w:name w:val="页眉 字符"/>
    <w:basedOn w:val="5"/>
    <w:link w:val="3"/>
    <w:qFormat/>
    <w:uiPriority w:val="99"/>
    <w:rPr>
      <w:rFonts w:ascii="Arial" w:hAnsi="Arial" w:eastAsia="Arial" w:cs="Arial"/>
      <w:snapToGrid w:val="0"/>
      <w:color w:val="000000"/>
      <w:sz w:val="18"/>
      <w:szCs w:val="18"/>
    </w:rPr>
  </w:style>
  <w:style w:type="character" w:customStyle="1" w:styleId="8">
    <w:name w:val="页脚 字符"/>
    <w:basedOn w:val="5"/>
    <w:link w:val="2"/>
    <w:qFormat/>
    <w:uiPriority w:val="0"/>
    <w:rPr>
      <w:rFonts w:ascii="Arial" w:hAnsi="Arial" w:eastAsia="Arial" w:cs="Arial"/>
      <w:snapToGrid w:val="0"/>
      <w:color w:val="000000"/>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92BBEB3-2570-48F7-BC93-941C20A78933}">
  <ds:schemaRefs/>
</ds:datastoreItem>
</file>

<file path=docProps/app.xml><?xml version="1.0" encoding="utf-8"?>
<Properties xmlns="http://schemas.openxmlformats.org/officeDocument/2006/extended-properties" xmlns:vt="http://schemas.openxmlformats.org/officeDocument/2006/docPropsVTypes">
  <Template>Normal</Template>
  <Pages>3</Pages>
  <Words>319</Words>
  <Characters>1820</Characters>
  <Lines>15</Lines>
  <Paragraphs>4</Paragraphs>
  <TotalTime>40</TotalTime>
  <ScaleCrop>false</ScaleCrop>
  <LinksUpToDate>false</LinksUpToDate>
  <CharactersWithSpaces>2135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2022-02-16T02:28:00Z</dcterms:created>
  <dc:creator>圈圈</dc:creator>
  <cp:lastModifiedBy>Administrator</cp:lastModifiedBy>
  <cp:lastPrinted>2022-02-16T07:54:00Z</cp:lastPrinted>
  <dcterms:modified xsi:type="dcterms:W3CDTF">2022-03-07T05:50:33Z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8EDA85AD9A7747968E6C76B1518F787A</vt:lpwstr>
  </property>
  <property fmtid="{D5CDD505-2E9C-101B-9397-08002B2CF9AE}" pid="4" name="KSOSaveFontToCloudKey">
    <vt:lpwstr>0_btnclosed</vt:lpwstr>
  </property>
</Properties>
</file>